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665D01" w14:textId="77777777" w:rsidR="0006775D" w:rsidRPr="005A37B6" w:rsidRDefault="0006775D">
      <w:pPr>
        <w:widowControl w:val="0"/>
        <w:pBdr>
          <w:top w:val="nil"/>
          <w:left w:val="nil"/>
          <w:bottom w:val="nil"/>
          <w:right w:val="nil"/>
          <w:between w:val="nil"/>
        </w:pBdr>
        <w:spacing w:line="276" w:lineRule="auto"/>
        <w:rPr>
          <w:color w:val="000000"/>
          <w:sz w:val="26"/>
          <w:szCs w:val="26"/>
        </w:rPr>
      </w:pPr>
    </w:p>
    <w:tbl>
      <w:tblPr>
        <w:tblStyle w:val="a"/>
        <w:tblW w:w="14572" w:type="dxa"/>
        <w:jc w:val="center"/>
        <w:tblLayout w:type="fixed"/>
        <w:tblLook w:val="0400" w:firstRow="0" w:lastRow="0" w:firstColumn="0" w:lastColumn="0" w:noHBand="0" w:noVBand="1"/>
      </w:tblPr>
      <w:tblGrid>
        <w:gridCol w:w="4616"/>
        <w:gridCol w:w="9956"/>
      </w:tblGrid>
      <w:tr w:rsidR="0006775D" w:rsidRPr="005A37B6" w14:paraId="492AEF72" w14:textId="77777777">
        <w:trPr>
          <w:jc w:val="center"/>
        </w:trPr>
        <w:tc>
          <w:tcPr>
            <w:tcW w:w="4616" w:type="dxa"/>
          </w:tcPr>
          <w:p w14:paraId="1F0AA2D7" w14:textId="77777777" w:rsidR="0006775D" w:rsidRPr="005A37B6" w:rsidRDefault="00000000">
            <w:pPr>
              <w:spacing w:before="40"/>
              <w:jc w:val="center"/>
              <w:rPr>
                <w:sz w:val="26"/>
                <w:szCs w:val="26"/>
              </w:rPr>
            </w:pPr>
            <w:r w:rsidRPr="005A37B6">
              <w:rPr>
                <w:b/>
                <w:sz w:val="26"/>
                <w:szCs w:val="26"/>
              </w:rPr>
              <w:t>BỘ TƯ PHÁP</w:t>
            </w:r>
          </w:p>
          <w:p w14:paraId="7615E3C6" w14:textId="77777777" w:rsidR="0006775D" w:rsidRPr="005A37B6" w:rsidRDefault="00000000">
            <w:pPr>
              <w:spacing w:before="40"/>
              <w:jc w:val="center"/>
              <w:rPr>
                <w:sz w:val="26"/>
                <w:szCs w:val="26"/>
              </w:rPr>
            </w:pPr>
            <w:r w:rsidRPr="005A37B6">
              <w:rPr>
                <w:noProof/>
                <w:sz w:val="26"/>
                <w:szCs w:val="26"/>
              </w:rPr>
              <mc:AlternateContent>
                <mc:Choice Requires="wps">
                  <w:drawing>
                    <wp:anchor distT="0" distB="0" distL="114300" distR="114300" simplePos="0" relativeHeight="251658240" behindDoc="0" locked="0" layoutInCell="1" hidden="0" allowOverlap="1" wp14:anchorId="37193F2F" wp14:editId="5E99C477">
                      <wp:simplePos x="0" y="0"/>
                      <wp:positionH relativeFrom="column">
                        <wp:posOffset>958850</wp:posOffset>
                      </wp:positionH>
                      <wp:positionV relativeFrom="paragraph">
                        <wp:posOffset>25400</wp:posOffset>
                      </wp:positionV>
                      <wp:extent cx="0" cy="12700"/>
                      <wp:effectExtent l="0" t="0" r="0" b="0"/>
                      <wp:wrapNone/>
                      <wp:docPr id="683291086" name="Straight Arrow Connector 683291086"/>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958850</wp:posOffset>
                      </wp:positionH>
                      <wp:positionV relativeFrom="paragraph">
                        <wp:posOffset>25400</wp:posOffset>
                      </wp:positionV>
                      <wp:extent cx="0" cy="12700"/>
                      <wp:effectExtent b="0" l="0" r="0" t="0"/>
                      <wp:wrapNone/>
                      <wp:docPr id="683291086"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sidRPr="005A37B6">
              <w:rPr>
                <w:noProof/>
                <w:sz w:val="26"/>
                <w:szCs w:val="26"/>
              </w:rPr>
              <mc:AlternateContent>
                <mc:Choice Requires="wps">
                  <w:drawing>
                    <wp:anchor distT="0" distB="0" distL="114300" distR="114300" simplePos="0" relativeHeight="251659264" behindDoc="0" locked="0" layoutInCell="1" hidden="0" allowOverlap="1" wp14:anchorId="4C12F3A1" wp14:editId="0E193EA2">
                      <wp:simplePos x="0" y="0"/>
                      <wp:positionH relativeFrom="column">
                        <wp:posOffset>954405</wp:posOffset>
                      </wp:positionH>
                      <wp:positionV relativeFrom="paragraph">
                        <wp:posOffset>38100</wp:posOffset>
                      </wp:positionV>
                      <wp:extent cx="0" cy="12700"/>
                      <wp:effectExtent l="0" t="0" r="0" b="0"/>
                      <wp:wrapNone/>
                      <wp:docPr id="683291087" name="Straight Arrow Connector 683291087"/>
                      <wp:cNvGraphicFramePr/>
                      <a:graphic xmlns:a="http://schemas.openxmlformats.org/drawingml/2006/main">
                        <a:graphicData uri="http://schemas.microsoft.com/office/word/2010/wordprocessingShape">
                          <wps:wsp>
                            <wps:cNvCnPr/>
                            <wps:spPr>
                              <a:xfrm>
                                <a:off x="4941188" y="3780000"/>
                                <a:ext cx="8096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954405</wp:posOffset>
                      </wp:positionH>
                      <wp:positionV relativeFrom="paragraph">
                        <wp:posOffset>38100</wp:posOffset>
                      </wp:positionV>
                      <wp:extent cx="0" cy="12700"/>
                      <wp:effectExtent b="0" l="0" r="0" t="0"/>
                      <wp:wrapNone/>
                      <wp:docPr id="68329108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9956" w:type="dxa"/>
          </w:tcPr>
          <w:p w14:paraId="40D022AF" w14:textId="77777777" w:rsidR="0006775D" w:rsidRPr="005A37B6" w:rsidRDefault="00000000">
            <w:pPr>
              <w:spacing w:before="40"/>
              <w:jc w:val="center"/>
              <w:rPr>
                <w:sz w:val="26"/>
                <w:szCs w:val="26"/>
              </w:rPr>
            </w:pPr>
            <w:r w:rsidRPr="005A37B6">
              <w:rPr>
                <w:b/>
                <w:sz w:val="26"/>
                <w:szCs w:val="26"/>
              </w:rPr>
              <w:t>CỘNG HÒA XÃ HỘI CHỦ NGHĨA VIỆT NAM</w:t>
            </w:r>
          </w:p>
          <w:p w14:paraId="0BCF61E1" w14:textId="77777777" w:rsidR="0006775D" w:rsidRPr="005A37B6" w:rsidRDefault="00000000">
            <w:pPr>
              <w:spacing w:before="40"/>
              <w:jc w:val="center"/>
              <w:rPr>
                <w:b/>
                <w:sz w:val="26"/>
                <w:szCs w:val="26"/>
              </w:rPr>
            </w:pPr>
            <w:r w:rsidRPr="005A37B6">
              <w:rPr>
                <w:b/>
                <w:sz w:val="26"/>
                <w:szCs w:val="26"/>
              </w:rPr>
              <w:t>Độc lập - Tự do - Hạnh phúc</w:t>
            </w:r>
          </w:p>
          <w:p w14:paraId="2DEAA119" w14:textId="77777777" w:rsidR="0006775D" w:rsidRPr="005A37B6" w:rsidRDefault="00000000">
            <w:pPr>
              <w:spacing w:before="40"/>
              <w:jc w:val="center"/>
              <w:rPr>
                <w:b/>
                <w:sz w:val="26"/>
                <w:szCs w:val="26"/>
              </w:rPr>
            </w:pPr>
            <w:r w:rsidRPr="005A37B6">
              <w:rPr>
                <w:noProof/>
                <w:sz w:val="26"/>
                <w:szCs w:val="26"/>
              </w:rPr>
              <mc:AlternateContent>
                <mc:Choice Requires="wps">
                  <w:drawing>
                    <wp:anchor distT="0" distB="0" distL="114300" distR="114300" simplePos="0" relativeHeight="251660288" behindDoc="0" locked="0" layoutInCell="1" hidden="0" allowOverlap="1" wp14:anchorId="798489D7" wp14:editId="6CA8F7C3">
                      <wp:simplePos x="0" y="0"/>
                      <wp:positionH relativeFrom="column">
                        <wp:posOffset>2305685</wp:posOffset>
                      </wp:positionH>
                      <wp:positionV relativeFrom="paragraph">
                        <wp:posOffset>38100</wp:posOffset>
                      </wp:positionV>
                      <wp:extent cx="0" cy="12700"/>
                      <wp:effectExtent l="0" t="0" r="0" b="0"/>
                      <wp:wrapNone/>
                      <wp:docPr id="683291089" name="Straight Arrow Connector 683291089"/>
                      <wp:cNvGraphicFramePr/>
                      <a:graphic xmlns:a="http://schemas.openxmlformats.org/drawingml/2006/main">
                        <a:graphicData uri="http://schemas.microsoft.com/office/word/2010/wordprocessingShape">
                          <wps:wsp>
                            <wps:cNvCnPr/>
                            <wps:spPr>
                              <a:xfrm>
                                <a:off x="4560188" y="3780000"/>
                                <a:ext cx="157162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2305685</wp:posOffset>
                      </wp:positionH>
                      <wp:positionV relativeFrom="paragraph">
                        <wp:posOffset>38100</wp:posOffset>
                      </wp:positionV>
                      <wp:extent cx="0" cy="12700"/>
                      <wp:effectExtent b="0" l="0" r="0" t="0"/>
                      <wp:wrapNone/>
                      <wp:docPr id="68329108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1D3303F1" w14:textId="77777777" w:rsidR="0006775D" w:rsidRPr="005A37B6" w:rsidRDefault="00000000">
            <w:pPr>
              <w:spacing w:before="40"/>
              <w:jc w:val="center"/>
              <w:rPr>
                <w:i/>
                <w:sz w:val="26"/>
                <w:szCs w:val="26"/>
              </w:rPr>
            </w:pPr>
            <w:r w:rsidRPr="005A37B6">
              <w:rPr>
                <w:i/>
                <w:sz w:val="26"/>
                <w:szCs w:val="26"/>
              </w:rPr>
              <w:t>Hà Nội, ngày      tháng 11 năm 2025</w:t>
            </w:r>
          </w:p>
        </w:tc>
      </w:tr>
    </w:tbl>
    <w:p w14:paraId="0F30B96A" w14:textId="77777777" w:rsidR="0006775D" w:rsidRPr="005A37B6" w:rsidRDefault="00000000">
      <w:pPr>
        <w:tabs>
          <w:tab w:val="left" w:pos="0"/>
          <w:tab w:val="right" w:pos="8931"/>
        </w:tabs>
        <w:spacing w:before="120" w:after="120"/>
        <w:jc w:val="center"/>
        <w:rPr>
          <w:b/>
          <w:sz w:val="26"/>
          <w:szCs w:val="26"/>
        </w:rPr>
      </w:pPr>
      <w:r w:rsidRPr="005A37B6">
        <w:rPr>
          <w:b/>
          <w:sz w:val="26"/>
          <w:szCs w:val="26"/>
        </w:rPr>
        <w:t>BẢNG SO SÁNH, THUYẾT MINH DỰ THẢO NGHỊ QUYẾT QUY ĐỊNH XỬ LÝ KHÓ KHĂN, VƯỚNG MẮC TRONG ĐƠN GIẢN HÓA THỦ TỤC HÀNH CHÍNH DỰA TRÊN DỮ LIỆU</w:t>
      </w:r>
    </w:p>
    <w:p w14:paraId="5B45D88B" w14:textId="77777777" w:rsidR="0006775D" w:rsidRPr="005A37B6" w:rsidRDefault="00000000">
      <w:pPr>
        <w:tabs>
          <w:tab w:val="left" w:pos="0"/>
          <w:tab w:val="right" w:pos="8931"/>
        </w:tabs>
        <w:spacing w:before="120" w:after="120"/>
        <w:rPr>
          <w:b/>
          <w:sz w:val="26"/>
          <w:szCs w:val="26"/>
        </w:rPr>
      </w:pPr>
      <w:r w:rsidRPr="005A37B6">
        <w:rPr>
          <w:noProof/>
          <w:sz w:val="26"/>
          <w:szCs w:val="26"/>
        </w:rPr>
        <mc:AlternateContent>
          <mc:Choice Requires="wps">
            <w:drawing>
              <wp:anchor distT="0" distB="0" distL="114300" distR="114300" simplePos="0" relativeHeight="251661312" behindDoc="0" locked="0" layoutInCell="1" hidden="0" allowOverlap="1" wp14:anchorId="2935DB05" wp14:editId="122006F1">
                <wp:simplePos x="0" y="0"/>
                <wp:positionH relativeFrom="column">
                  <wp:posOffset>3521146</wp:posOffset>
                </wp:positionH>
                <wp:positionV relativeFrom="paragraph">
                  <wp:posOffset>71312</wp:posOffset>
                </wp:positionV>
                <wp:extent cx="10210" cy="12700"/>
                <wp:effectExtent l="0" t="0" r="0" b="0"/>
                <wp:wrapNone/>
                <wp:docPr id="683291088" name="Straight Arrow Connector 683291088"/>
                <wp:cNvGraphicFramePr/>
                <a:graphic xmlns:a="http://schemas.openxmlformats.org/drawingml/2006/main">
                  <a:graphicData uri="http://schemas.microsoft.com/office/word/2010/wordprocessingShape">
                    <wps:wsp>
                      <wps:cNvCnPr/>
                      <wps:spPr>
                        <a:xfrm rot="10800000" flipH="1">
                          <a:off x="4524067" y="3774895"/>
                          <a:ext cx="1643866" cy="1021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3521146</wp:posOffset>
                </wp:positionH>
                <wp:positionV relativeFrom="paragraph">
                  <wp:posOffset>71312</wp:posOffset>
                </wp:positionV>
                <wp:extent cx="10210" cy="12700"/>
                <wp:effectExtent b="0" l="0" r="0" t="0"/>
                <wp:wrapNone/>
                <wp:docPr id="683291088"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0210" cy="12700"/>
                        </a:xfrm>
                        <a:prstGeom prst="rect"/>
                        <a:ln/>
                      </pic:spPr>
                    </pic:pic>
                  </a:graphicData>
                </a:graphic>
              </wp:anchor>
            </w:drawing>
          </mc:Fallback>
        </mc:AlternateContent>
      </w:r>
    </w:p>
    <w:tbl>
      <w:tblPr>
        <w:tblStyle w:val="a0"/>
        <w:tblW w:w="1413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9"/>
        <w:gridCol w:w="4520"/>
        <w:gridCol w:w="4978"/>
      </w:tblGrid>
      <w:tr w:rsidR="0006775D" w:rsidRPr="005A37B6" w14:paraId="419F3E5E" w14:textId="77777777" w:rsidTr="005A37B6">
        <w:tc>
          <w:tcPr>
            <w:tcW w:w="4639" w:type="dxa"/>
          </w:tcPr>
          <w:p w14:paraId="5C49D6F1" w14:textId="77777777" w:rsidR="0006775D" w:rsidRPr="005A37B6" w:rsidRDefault="00000000">
            <w:pPr>
              <w:tabs>
                <w:tab w:val="right" w:pos="8640"/>
              </w:tabs>
              <w:spacing w:before="40" w:after="40" w:line="280" w:lineRule="auto"/>
              <w:jc w:val="center"/>
              <w:rPr>
                <w:b/>
                <w:sz w:val="26"/>
                <w:szCs w:val="26"/>
              </w:rPr>
            </w:pPr>
            <w:r w:rsidRPr="005A37B6">
              <w:rPr>
                <w:b/>
                <w:sz w:val="26"/>
                <w:szCs w:val="26"/>
              </w:rPr>
              <w:t>QUY ĐỊNH HIỆN HÀNH</w:t>
            </w:r>
          </w:p>
        </w:tc>
        <w:tc>
          <w:tcPr>
            <w:tcW w:w="4520" w:type="dxa"/>
          </w:tcPr>
          <w:p w14:paraId="17C7C73A" w14:textId="77777777" w:rsidR="0006775D" w:rsidRPr="005A37B6" w:rsidRDefault="00000000">
            <w:pPr>
              <w:tabs>
                <w:tab w:val="right" w:pos="8640"/>
              </w:tabs>
              <w:spacing w:before="40" w:after="40" w:line="280" w:lineRule="auto"/>
              <w:jc w:val="center"/>
              <w:rPr>
                <w:b/>
                <w:sz w:val="26"/>
                <w:szCs w:val="26"/>
              </w:rPr>
            </w:pPr>
            <w:r w:rsidRPr="005A37B6">
              <w:rPr>
                <w:b/>
                <w:sz w:val="26"/>
                <w:szCs w:val="26"/>
              </w:rPr>
              <w:t xml:space="preserve">DỰ THẢO NGHỊ ĐỊNH </w:t>
            </w:r>
          </w:p>
        </w:tc>
        <w:tc>
          <w:tcPr>
            <w:tcW w:w="4978" w:type="dxa"/>
          </w:tcPr>
          <w:p w14:paraId="6632B038" w14:textId="77777777" w:rsidR="0006775D" w:rsidRPr="005A37B6" w:rsidRDefault="00000000">
            <w:pPr>
              <w:tabs>
                <w:tab w:val="right" w:pos="8640"/>
              </w:tabs>
              <w:spacing w:before="40" w:after="40" w:line="280" w:lineRule="auto"/>
              <w:jc w:val="center"/>
              <w:rPr>
                <w:b/>
                <w:sz w:val="26"/>
                <w:szCs w:val="26"/>
              </w:rPr>
            </w:pPr>
            <w:r w:rsidRPr="005A37B6">
              <w:rPr>
                <w:b/>
                <w:sz w:val="26"/>
                <w:szCs w:val="26"/>
              </w:rPr>
              <w:t>THUYẾT MINH</w:t>
            </w:r>
          </w:p>
        </w:tc>
      </w:tr>
      <w:tr w:rsidR="0006775D" w:rsidRPr="005A37B6" w14:paraId="7B4B42A4" w14:textId="77777777" w:rsidTr="005A37B6">
        <w:tc>
          <w:tcPr>
            <w:tcW w:w="4639" w:type="dxa"/>
          </w:tcPr>
          <w:p w14:paraId="6EEAF869" w14:textId="77777777" w:rsidR="00BB1690" w:rsidRPr="005A37B6" w:rsidRDefault="00000000" w:rsidP="00BB1690">
            <w:pPr>
              <w:tabs>
                <w:tab w:val="right" w:pos="8640"/>
              </w:tabs>
              <w:spacing w:before="40" w:after="40" w:line="360" w:lineRule="auto"/>
              <w:jc w:val="both"/>
              <w:rPr>
                <w:sz w:val="26"/>
                <w:szCs w:val="26"/>
              </w:rPr>
            </w:pPr>
            <w:bookmarkStart w:id="0" w:name="_heading=h.1mzas3jcalc4" w:colFirst="0" w:colLast="0"/>
            <w:bookmarkEnd w:id="0"/>
            <w:r w:rsidRPr="005A37B6">
              <w:rPr>
                <w:sz w:val="26"/>
                <w:szCs w:val="26"/>
              </w:rPr>
              <w:t>Trong thời gian vừa qua, Đảng và nhà nước đã có nhiều chủ trương, chính sách, pháp luật đặt ra yêu cầu, giải pháp để thực thi đơn giản hóa thủ tục hành chính, cắt giảm thành phần hồ sơ, thống nhất sử dụng dữ liệu thay thế giấy tờ/hồ sơ thủ tục hành chính. Nổi bật là chỉ đạo tại các văn bản sau:</w:t>
            </w:r>
            <w:bookmarkStart w:id="1" w:name="_heading=h.7vbhkcfbd3kw" w:colFirst="0" w:colLast="0"/>
            <w:bookmarkEnd w:id="1"/>
          </w:p>
          <w:p w14:paraId="2A165222" w14:textId="77777777" w:rsidR="00BB1690" w:rsidRPr="005A37B6" w:rsidRDefault="00BB1690" w:rsidP="00BB1690">
            <w:pPr>
              <w:tabs>
                <w:tab w:val="right" w:pos="8640"/>
              </w:tabs>
              <w:spacing w:before="40" w:after="40" w:line="360" w:lineRule="auto"/>
              <w:jc w:val="both"/>
              <w:rPr>
                <w:sz w:val="26"/>
                <w:szCs w:val="26"/>
              </w:rPr>
            </w:pPr>
            <w:r w:rsidRPr="005A37B6">
              <w:rPr>
                <w:sz w:val="26"/>
                <w:szCs w:val="26"/>
              </w:rPr>
              <w:t xml:space="preserve">1. Nhóm các Nghị quyết đưa đất nước bước vào kỷ nguyên mới (Nghị quyết 57‑NQ/TW ngày 22/12/2024 của Bộ Chính trị về Đột phá phát triển khoa học, công nghệ, đổi mới sáng tạo và chuyển đổi số quốc gia; Nghị quyết số 66-NQ/TW ngày 30/4/2025 của Bộ Chính trị về đổi mới công tác xây dựng và thi hành pháp </w:t>
            </w:r>
            <w:r w:rsidRPr="005A37B6">
              <w:rPr>
                <w:sz w:val="26"/>
                <w:szCs w:val="26"/>
              </w:rPr>
              <w:lastRenderedPageBreak/>
              <w:t>luật đáp ứng yêu cầu phát triển đất nước trong kỷ nguyên mới;Nghị quyết 68-NQ/TW ngày 04/5/2055 của Bộ Chính trị về phát triển kinh tế tư nhân).</w:t>
            </w:r>
            <w:bookmarkStart w:id="2" w:name="_heading=h.wuy4nq48ffwd" w:colFirst="0" w:colLast="0"/>
            <w:bookmarkEnd w:id="2"/>
          </w:p>
          <w:p w14:paraId="077E8652" w14:textId="0AA9EC26" w:rsidR="0006775D" w:rsidRPr="005A37B6" w:rsidRDefault="00BB1690" w:rsidP="00BB1690">
            <w:pPr>
              <w:tabs>
                <w:tab w:val="right" w:pos="8640"/>
              </w:tabs>
              <w:spacing w:before="40" w:after="40" w:line="360" w:lineRule="auto"/>
              <w:jc w:val="both"/>
              <w:rPr>
                <w:sz w:val="26"/>
                <w:szCs w:val="26"/>
              </w:rPr>
            </w:pPr>
            <w:r w:rsidRPr="005A37B6">
              <w:rPr>
                <w:sz w:val="26"/>
                <w:szCs w:val="26"/>
              </w:rPr>
              <w:t xml:space="preserve">2. Các Kết luật của Bộ Chính trị, Ban Bí thư (Kết luận 195-KL/TW ngày 26/9/2025 của của Bộ Chính trị, Ban Bí thư về tình hình, kết quả hoạt động của bộ máy hệ thống chính trị và chính quyền địa phương 2 cấp yêu cầu các cấp ủy; Kế hoạch số 02-KH/BCĐTW ngày 19/6/2025 của Ban Chỉ đạo Trung ương về phát triển khoa học công nghệ, đổi mới sáng tạo và chuyển đổi số về việc thúc đẩy chuyển đổi số liên thông, đồng bộ, nhanh, hiệu quả đáp ứng yêu cầu sắp xếp tổ chức bộ máy của hệ thống chính trị đã đặt ra mục tiêu từ ngày 01/7/2025 đến ngày 31/12/2025; Thông báo số 07-TB/CQTTBCĐ về kết luận của đồng chí Tổng Bí thư Tô Lâm, Trưởng Ban Chỉ đạo Trung ương về phát triển khoa </w:t>
            </w:r>
            <w:r w:rsidRPr="005A37B6">
              <w:rPr>
                <w:sz w:val="26"/>
                <w:szCs w:val="26"/>
              </w:rPr>
              <w:lastRenderedPageBreak/>
              <w:t>học, công nghệ, đổi mới sáng tạo và chuyển đổi số);</w:t>
            </w:r>
          </w:p>
          <w:p w14:paraId="1BF3A3C6" w14:textId="77777777" w:rsidR="0006775D" w:rsidRPr="005A37B6" w:rsidRDefault="00000000">
            <w:pPr>
              <w:tabs>
                <w:tab w:val="right" w:pos="8640"/>
              </w:tabs>
              <w:spacing w:before="40" w:after="40" w:line="360" w:lineRule="auto"/>
              <w:jc w:val="both"/>
              <w:rPr>
                <w:sz w:val="26"/>
                <w:szCs w:val="26"/>
              </w:rPr>
            </w:pPr>
            <w:bookmarkStart w:id="3" w:name="_heading=h.pl9mceijeuy2" w:colFirst="0" w:colLast="0"/>
            <w:bookmarkEnd w:id="3"/>
            <w:r w:rsidRPr="005A37B6">
              <w:rPr>
                <w:sz w:val="26"/>
                <w:szCs w:val="26"/>
              </w:rPr>
              <w:t xml:space="preserve">3. Chính phủ, Thủ tướng Chính phủ cũng đã có nhiều chỉ đạo quyết liệu tại các văn bản: Quyết định số 06/QĐ-TTg của Thủ tướng Chính phủ: Phê duyệt Đề án phát triển ứng dụng dữ liệu về dân cư, định danh và xác thực điện tử phục vụ chuyển đổi số quốc gia giai đoạn 2022 - 2025, tầm nhìn đến năm 2030; Nghị quyết số 66/NQ-CP ngày 26/3/2025 của Chính phủ về Chương trình cắt giảm, đơn giản hóa TTHC liên quan đến hoạt động sản xuất, kinh doanh năm 2025 và 2026; các Quyết định phê duyệt phương án cắt giảm, đơn giản hóa TTHC liên quan đến hoạt động sản xuất, kinh doanh và đơn giản hóa TTHC để tổ chức thực hiện TTHC không phụ thuộc vào địa giới hành chính trong phạm vi cấp tỉnh thuộc lĩnh vực quản lý  nhà nước của 14 bộ, cơ quan ngang bộ. </w:t>
            </w:r>
          </w:p>
        </w:tc>
        <w:tc>
          <w:tcPr>
            <w:tcW w:w="4520" w:type="dxa"/>
          </w:tcPr>
          <w:p w14:paraId="6CDEAE4E" w14:textId="77777777" w:rsidR="0006775D" w:rsidRPr="005A37B6" w:rsidRDefault="00000000">
            <w:pPr>
              <w:tabs>
                <w:tab w:val="right" w:pos="0"/>
                <w:tab w:val="left" w:pos="567"/>
              </w:tabs>
              <w:spacing w:before="120" w:after="120" w:line="360" w:lineRule="auto"/>
              <w:jc w:val="both"/>
              <w:rPr>
                <w:b/>
                <w:color w:val="000000"/>
                <w:sz w:val="26"/>
                <w:szCs w:val="26"/>
              </w:rPr>
            </w:pPr>
            <w:r w:rsidRPr="005A37B6">
              <w:rPr>
                <w:b/>
                <w:color w:val="000000"/>
                <w:sz w:val="26"/>
                <w:szCs w:val="26"/>
              </w:rPr>
              <w:lastRenderedPageBreak/>
              <w:t xml:space="preserve">Điều 1. Phạm vi điều chỉnh </w:t>
            </w:r>
          </w:p>
          <w:p w14:paraId="35D1DC33" w14:textId="77777777" w:rsidR="0006775D" w:rsidRPr="005A37B6" w:rsidRDefault="00000000">
            <w:pPr>
              <w:tabs>
                <w:tab w:val="left" w:pos="567"/>
                <w:tab w:val="right" w:pos="8931"/>
              </w:tabs>
              <w:spacing w:before="120" w:after="120" w:line="360" w:lineRule="auto"/>
              <w:jc w:val="both"/>
              <w:rPr>
                <w:sz w:val="26"/>
                <w:szCs w:val="26"/>
              </w:rPr>
            </w:pPr>
            <w:r w:rsidRPr="005A37B6">
              <w:rPr>
                <w:sz w:val="26"/>
                <w:szCs w:val="26"/>
              </w:rPr>
              <w:t xml:space="preserve">Nghị quyết này quy định việc </w:t>
            </w:r>
            <w:r w:rsidRPr="005A37B6">
              <w:rPr>
                <w:b/>
                <w:sz w:val="26"/>
                <w:szCs w:val="26"/>
              </w:rPr>
              <w:t>thay thế hoặc cắt giảm thành phần hồ sơ t</w:t>
            </w:r>
            <w:r w:rsidRPr="005A37B6">
              <w:rPr>
                <w:sz w:val="26"/>
                <w:szCs w:val="26"/>
              </w:rPr>
              <w:t>rong các thủ tục hành chính bằng việc khai thác hoặc sử dụng thông tin tương ứng từ các cơ sở dữ liệu quốc gia, cơ sở dữ liệu chuyên ngành (sau đây gọi là các cơ sở dữ liệu), các thủ tục hành chính không yêu cầu cá nhân, tổ chức phải thực hiện</w:t>
            </w:r>
            <w:r w:rsidRPr="005A37B6">
              <w:rPr>
                <w:color w:val="000000"/>
                <w:sz w:val="26"/>
                <w:szCs w:val="26"/>
              </w:rPr>
              <w:t>.</w:t>
            </w:r>
          </w:p>
        </w:tc>
        <w:tc>
          <w:tcPr>
            <w:tcW w:w="4978" w:type="dxa"/>
          </w:tcPr>
          <w:p w14:paraId="4EF95FBA" w14:textId="7D9B6F04" w:rsidR="0006775D" w:rsidRPr="005A37B6" w:rsidRDefault="00000000">
            <w:pPr>
              <w:tabs>
                <w:tab w:val="right" w:pos="8640"/>
              </w:tabs>
              <w:spacing w:before="40" w:after="40" w:line="360" w:lineRule="auto"/>
              <w:jc w:val="both"/>
              <w:rPr>
                <w:sz w:val="26"/>
                <w:szCs w:val="26"/>
              </w:rPr>
            </w:pPr>
            <w:r w:rsidRPr="005A37B6">
              <w:rPr>
                <w:sz w:val="26"/>
                <w:szCs w:val="26"/>
              </w:rPr>
              <w:t>Quy đinh này nhằm thể chế hóa đầy đủ quản điểm chỉ đạo của Đảng, pháp luật của Nhà nước về đơn giản hóa thủ tục hành chính, cắt giảm thành phần hồ sơ, khai thác, sử dụng cơ sở dữ liệu trong thực hiện thủ tục hành chính, tuân thủ nguyên tắc “</w:t>
            </w:r>
            <w:r w:rsidRPr="005A37B6">
              <w:rPr>
                <w:i/>
                <w:iCs/>
                <w:sz w:val="26"/>
                <w:szCs w:val="26"/>
              </w:rPr>
              <w:t>đúng</w:t>
            </w:r>
            <w:r w:rsidR="00D12232" w:rsidRPr="005A37B6">
              <w:rPr>
                <w:i/>
                <w:iCs/>
                <w:sz w:val="26"/>
                <w:szCs w:val="26"/>
              </w:rPr>
              <w:t xml:space="preserve"> -</w:t>
            </w:r>
            <w:r w:rsidRPr="005A37B6">
              <w:rPr>
                <w:i/>
                <w:iCs/>
                <w:sz w:val="26"/>
                <w:szCs w:val="26"/>
              </w:rPr>
              <w:t xml:space="preserve"> đủ</w:t>
            </w:r>
            <w:r w:rsidR="00D12232" w:rsidRPr="005A37B6">
              <w:rPr>
                <w:i/>
                <w:iCs/>
                <w:sz w:val="26"/>
                <w:szCs w:val="26"/>
              </w:rPr>
              <w:t xml:space="preserve"> -</w:t>
            </w:r>
            <w:r w:rsidRPr="005A37B6">
              <w:rPr>
                <w:i/>
                <w:iCs/>
                <w:sz w:val="26"/>
                <w:szCs w:val="26"/>
              </w:rPr>
              <w:t xml:space="preserve"> sạch</w:t>
            </w:r>
            <w:r w:rsidR="00D12232" w:rsidRPr="005A37B6">
              <w:rPr>
                <w:i/>
                <w:iCs/>
                <w:sz w:val="26"/>
                <w:szCs w:val="26"/>
              </w:rPr>
              <w:t xml:space="preserve"> -</w:t>
            </w:r>
            <w:r w:rsidRPr="005A37B6">
              <w:rPr>
                <w:i/>
                <w:iCs/>
                <w:sz w:val="26"/>
                <w:szCs w:val="26"/>
              </w:rPr>
              <w:t xml:space="preserve"> sống</w:t>
            </w:r>
            <w:r w:rsidR="00D12232" w:rsidRPr="005A37B6">
              <w:rPr>
                <w:i/>
                <w:iCs/>
                <w:sz w:val="26"/>
                <w:szCs w:val="26"/>
              </w:rPr>
              <w:t xml:space="preserve"> -</w:t>
            </w:r>
            <w:r w:rsidRPr="005A37B6">
              <w:rPr>
                <w:i/>
                <w:iCs/>
                <w:sz w:val="26"/>
                <w:szCs w:val="26"/>
              </w:rPr>
              <w:t xml:space="preserve"> thống nhất</w:t>
            </w:r>
            <w:r w:rsidR="00D12232" w:rsidRPr="005A37B6">
              <w:rPr>
                <w:i/>
                <w:iCs/>
                <w:sz w:val="26"/>
                <w:szCs w:val="26"/>
              </w:rPr>
              <w:t xml:space="preserve"> -</w:t>
            </w:r>
            <w:r w:rsidRPr="005A37B6">
              <w:rPr>
                <w:i/>
                <w:iCs/>
                <w:sz w:val="26"/>
                <w:szCs w:val="26"/>
              </w:rPr>
              <w:t xml:space="preserve"> dùng chung</w:t>
            </w:r>
            <w:r w:rsidRPr="005A37B6">
              <w:rPr>
                <w:sz w:val="26"/>
                <w:szCs w:val="26"/>
              </w:rPr>
              <w:t>”.</w:t>
            </w:r>
          </w:p>
          <w:p w14:paraId="4FDA3C2F" w14:textId="77777777" w:rsidR="0006775D" w:rsidRPr="005A37B6" w:rsidRDefault="0006775D">
            <w:pPr>
              <w:tabs>
                <w:tab w:val="right" w:pos="8640"/>
              </w:tabs>
              <w:spacing w:before="40" w:after="40" w:line="360" w:lineRule="auto"/>
              <w:jc w:val="both"/>
              <w:rPr>
                <w:sz w:val="26"/>
                <w:szCs w:val="26"/>
              </w:rPr>
            </w:pPr>
          </w:p>
          <w:p w14:paraId="0243BA35" w14:textId="77777777" w:rsidR="0006775D" w:rsidRPr="005A37B6" w:rsidRDefault="0006775D">
            <w:pPr>
              <w:tabs>
                <w:tab w:val="right" w:pos="8640"/>
              </w:tabs>
              <w:spacing w:before="40" w:after="40" w:line="360" w:lineRule="auto"/>
              <w:jc w:val="both"/>
              <w:rPr>
                <w:sz w:val="26"/>
                <w:szCs w:val="26"/>
              </w:rPr>
            </w:pPr>
          </w:p>
        </w:tc>
      </w:tr>
      <w:tr w:rsidR="0006775D" w:rsidRPr="005A37B6" w14:paraId="582A5D5A" w14:textId="77777777" w:rsidTr="005A37B6">
        <w:tc>
          <w:tcPr>
            <w:tcW w:w="4639" w:type="dxa"/>
          </w:tcPr>
          <w:p w14:paraId="1148810C" w14:textId="77777777" w:rsidR="0006775D" w:rsidRPr="005A37B6" w:rsidRDefault="00000000">
            <w:pPr>
              <w:pBdr>
                <w:top w:val="nil"/>
                <w:left w:val="nil"/>
                <w:bottom w:val="nil"/>
                <w:right w:val="nil"/>
                <w:between w:val="nil"/>
              </w:pBdr>
              <w:tabs>
                <w:tab w:val="right" w:pos="0"/>
                <w:tab w:val="left" w:pos="567"/>
              </w:tabs>
              <w:spacing w:before="120" w:after="120" w:line="360" w:lineRule="auto"/>
              <w:jc w:val="both"/>
              <w:rPr>
                <w:sz w:val="26"/>
                <w:szCs w:val="26"/>
              </w:rPr>
            </w:pPr>
            <w:r w:rsidRPr="005A37B6">
              <w:rPr>
                <w:sz w:val="26"/>
                <w:szCs w:val="26"/>
              </w:rPr>
              <w:lastRenderedPageBreak/>
              <w:t xml:space="preserve">Điểm i khoản 1 Điều 5 Nghị định 118/2025/NĐ-CP quy định về việc cán bộ, công chức, viên chức, nhân viên được giao nhiệm vụ hướng dẫn, tiếp nhận hồ sơ, giải quyết, trả kết quả giải quyết thủ tục hành chính theo cơ chế một cửa, một cửa liên thông tại trụ sở Bộ phận Một cửa và tại cơ quan có thẩm quyền giải quyết </w:t>
            </w:r>
            <w:r w:rsidRPr="005A37B6">
              <w:rPr>
                <w:sz w:val="26"/>
                <w:szCs w:val="26"/>
                <w:u w:val="single"/>
              </w:rPr>
              <w:t>không được thực hiện các hành v</w:t>
            </w:r>
            <w:r w:rsidRPr="005A37B6">
              <w:rPr>
                <w:sz w:val="26"/>
                <w:szCs w:val="26"/>
              </w:rPr>
              <w:t xml:space="preserve">i; trong đó có hành vi: Yêu cầu cung cấp lại thông tin, giấy tờ, tài liệu điện tử hoặc tài liệu đã được số hóa có giá trị pháp lý theo quy định pháp luật, được kết nối, chia sẻ dữ liệu trong quá trình tiếp nhận, giải quyết thủ tục hành chính, trừ trường hợp sử dụng cho mục đích xác minh, thẩm tra lại tính xác thực của thông tin, giấy tờ, tài liệu đã được số hóa. </w:t>
            </w:r>
          </w:p>
        </w:tc>
        <w:tc>
          <w:tcPr>
            <w:tcW w:w="4520" w:type="dxa"/>
          </w:tcPr>
          <w:p w14:paraId="258B7052" w14:textId="77777777" w:rsidR="0006775D" w:rsidRPr="005A37B6" w:rsidRDefault="00000000">
            <w:pPr>
              <w:tabs>
                <w:tab w:val="right" w:pos="0"/>
                <w:tab w:val="left" w:pos="567"/>
              </w:tabs>
              <w:spacing w:before="120" w:after="120" w:line="360" w:lineRule="auto"/>
              <w:jc w:val="both"/>
              <w:rPr>
                <w:b/>
                <w:sz w:val="26"/>
                <w:szCs w:val="26"/>
              </w:rPr>
            </w:pPr>
            <w:r w:rsidRPr="005A37B6">
              <w:rPr>
                <w:b/>
                <w:sz w:val="26"/>
                <w:szCs w:val="26"/>
              </w:rPr>
              <w:t xml:space="preserve">Điều 2. Nguyên tắc cắt giảm, đơn giản hóa </w:t>
            </w:r>
          </w:p>
          <w:p w14:paraId="6A3BD8CF" w14:textId="4556584E" w:rsidR="00D12232" w:rsidRPr="005A37B6" w:rsidRDefault="00D12232" w:rsidP="00D12232">
            <w:pPr>
              <w:widowControl w:val="0"/>
              <w:tabs>
                <w:tab w:val="left" w:pos="567"/>
                <w:tab w:val="right" w:leader="dot" w:pos="8931"/>
              </w:tabs>
              <w:spacing w:before="120" w:after="120" w:line="360" w:lineRule="atLeast"/>
              <w:jc w:val="both"/>
              <w:rPr>
                <w:bCs/>
                <w:sz w:val="26"/>
                <w:szCs w:val="26"/>
                <w:lang w:val="en-US"/>
              </w:rPr>
            </w:pPr>
            <w:r w:rsidRPr="005A37B6">
              <w:rPr>
                <w:bCs/>
                <w:sz w:val="26"/>
                <w:szCs w:val="26"/>
              </w:rPr>
              <w:t xml:space="preserve">1. </w:t>
            </w:r>
            <w:r w:rsidRPr="005A37B6">
              <w:rPr>
                <w:bCs/>
                <w:sz w:val="26"/>
                <w:szCs w:val="26"/>
              </w:rPr>
              <w:t>Cắt giảm tối đa yêu cầu cung cấp thành phần hồ sơ giải quyết thủ tục hành chính mà các thông tin trong thành phần hồ sơ đã có dữ liệu trong các</w:t>
            </w:r>
            <w:r w:rsidRPr="005A37B6">
              <w:rPr>
                <w:sz w:val="26"/>
                <w:szCs w:val="26"/>
                <w:lang w:val="en-US"/>
              </w:rPr>
              <w:t xml:space="preserve"> cơ sở dữ liệu; việc </w:t>
            </w:r>
            <w:r w:rsidRPr="005A37B6">
              <w:rPr>
                <w:bCs/>
                <w:sz w:val="26"/>
                <w:szCs w:val="26"/>
                <w:lang w:val="en-US"/>
              </w:rPr>
              <w:t>thay thế hoặc cắt giảm thành phần hồ sơ trong các thủ tục hành chính theo được thực hiện mức độ đáp ứng việc khai thác, sử dụng của các cơ sở dữ liệu</w:t>
            </w:r>
            <w:r w:rsidRPr="005A37B6">
              <w:rPr>
                <w:sz w:val="26"/>
                <w:szCs w:val="26"/>
                <w:lang w:val="en-US"/>
              </w:rPr>
              <w:t xml:space="preserve">.  </w:t>
            </w:r>
          </w:p>
          <w:p w14:paraId="24F7FA79" w14:textId="157DF9E6" w:rsidR="0006775D" w:rsidRPr="005A37B6" w:rsidRDefault="00000000" w:rsidP="00D12232">
            <w:pPr>
              <w:widowControl w:val="0"/>
              <w:tabs>
                <w:tab w:val="left" w:pos="567"/>
                <w:tab w:val="right" w:leader="dot" w:pos="8931"/>
              </w:tabs>
              <w:spacing w:before="120" w:after="120" w:line="360" w:lineRule="atLeast"/>
              <w:jc w:val="both"/>
              <w:rPr>
                <w:bCs/>
                <w:color w:val="FF0000"/>
                <w:sz w:val="26"/>
                <w:szCs w:val="26"/>
                <w:lang w:val="en-US"/>
              </w:rPr>
            </w:pPr>
            <w:r w:rsidRPr="005A37B6">
              <w:rPr>
                <w:sz w:val="26"/>
                <w:szCs w:val="26"/>
              </w:rPr>
              <w:t xml:space="preserve">2. </w:t>
            </w:r>
            <w:r w:rsidR="00D12232" w:rsidRPr="005A37B6">
              <w:rPr>
                <w:sz w:val="26"/>
                <w:szCs w:val="26"/>
                <w:lang w:val="en-US"/>
              </w:rPr>
              <w:t xml:space="preserve">Hồ sơ thủ tục hành chính cần thông tin, thành phần hồ sơ mà các thông tin, thành phần hồ sơ đó </w:t>
            </w:r>
            <w:r w:rsidR="00D12232" w:rsidRPr="005A37B6">
              <w:rPr>
                <w:bCs/>
                <w:sz w:val="26"/>
                <w:szCs w:val="26"/>
              </w:rPr>
              <w:t xml:space="preserve">đã có trong </w:t>
            </w:r>
            <w:r w:rsidR="00D12232" w:rsidRPr="005A37B6">
              <w:rPr>
                <w:sz w:val="26"/>
                <w:szCs w:val="26"/>
                <w:lang w:val="en-US"/>
              </w:rPr>
              <w:t>các cơ sở dữ liệu thì người đề nghị giải quyết thủ tục hành chính, cơ quan tiếp nhận hồ sơ, giải quyết thủ tục hành chính khai thác từ các cơ sở dữ liệu; cá nhân, tổ chức không phải nộp các loại giấy tờ, tài liệu đó khi yêu cầu giải quyết thủ tục hành chính.</w:t>
            </w:r>
          </w:p>
          <w:p w14:paraId="3F842C3C" w14:textId="1EBCB3A7" w:rsidR="00D12232" w:rsidRPr="005A37B6" w:rsidRDefault="00D12232" w:rsidP="00D12232">
            <w:pPr>
              <w:shd w:val="clear" w:color="auto" w:fill="FFFFFF"/>
              <w:spacing w:before="120" w:after="120" w:line="360" w:lineRule="atLeast"/>
              <w:jc w:val="both"/>
              <w:rPr>
                <w:sz w:val="26"/>
                <w:szCs w:val="26"/>
              </w:rPr>
            </w:pPr>
            <w:r w:rsidRPr="005A37B6">
              <w:rPr>
                <w:bCs/>
                <w:color w:val="000000" w:themeColor="text1"/>
                <w:sz w:val="26"/>
                <w:szCs w:val="26"/>
                <w:lang w:val="en-US"/>
              </w:rPr>
              <w:t>3.</w:t>
            </w:r>
            <w:r w:rsidRPr="005A37B6">
              <w:rPr>
                <w:sz w:val="26"/>
                <w:szCs w:val="26"/>
              </w:rPr>
              <w:t xml:space="preserve"> T</w:t>
            </w:r>
            <w:r w:rsidRPr="005A37B6">
              <w:rPr>
                <w:sz w:val="26"/>
                <w:szCs w:val="26"/>
                <w:lang w:val="en-US"/>
              </w:rPr>
              <w:t>hành phần hồ sơ thủ tục hành chính</w:t>
            </w:r>
            <w:r w:rsidRPr="005A37B6">
              <w:rPr>
                <w:sz w:val="26"/>
                <w:szCs w:val="26"/>
              </w:rPr>
              <w:t xml:space="preserve"> đã được thay thế</w:t>
            </w:r>
            <w:r w:rsidRPr="005A37B6">
              <w:rPr>
                <w:sz w:val="26"/>
                <w:szCs w:val="26"/>
                <w:lang w:val="en-US"/>
              </w:rPr>
              <w:t xml:space="preserve"> bằng thông tin được</w:t>
            </w:r>
            <w:r w:rsidRPr="005A37B6">
              <w:rPr>
                <w:sz w:val="26"/>
                <w:szCs w:val="26"/>
              </w:rPr>
              <w:t xml:space="preserve"> khai thác trên các cơ sở dữ liệu nhưng không thể khai thác được </w:t>
            </w:r>
            <w:r w:rsidRPr="005A37B6">
              <w:rPr>
                <w:sz w:val="26"/>
                <w:szCs w:val="26"/>
                <w:lang w:val="en-US"/>
              </w:rPr>
              <w:t xml:space="preserve">hoặc thông tin khai thác được không đầy đủ, chưa bảo đảm chính xác </w:t>
            </w:r>
            <w:r w:rsidRPr="005A37B6">
              <w:rPr>
                <w:sz w:val="26"/>
                <w:szCs w:val="26"/>
              </w:rPr>
              <w:t>thì cơ quan</w:t>
            </w:r>
            <w:r w:rsidRPr="005A37B6">
              <w:rPr>
                <w:sz w:val="26"/>
                <w:szCs w:val="26"/>
                <w:lang w:val="en-US"/>
              </w:rPr>
              <w:t xml:space="preserve">, người có thẩm </w:t>
            </w:r>
            <w:r w:rsidRPr="005A37B6">
              <w:rPr>
                <w:sz w:val="26"/>
                <w:szCs w:val="26"/>
                <w:lang w:val="en-US"/>
              </w:rPr>
              <w:lastRenderedPageBreak/>
              <w:t>quyền</w:t>
            </w:r>
            <w:r w:rsidRPr="005A37B6">
              <w:rPr>
                <w:sz w:val="26"/>
                <w:szCs w:val="26"/>
              </w:rPr>
              <w:t xml:space="preserve"> tiếp nhận, giải quyết thủ tục hành chính được đề nghị cá nhân, tổ chức cung cấp </w:t>
            </w:r>
            <w:r w:rsidRPr="005A37B6">
              <w:rPr>
                <w:sz w:val="26"/>
                <w:szCs w:val="26"/>
                <w:lang w:val="en-US"/>
              </w:rPr>
              <w:t xml:space="preserve">tài liệu </w:t>
            </w:r>
            <w:r w:rsidRPr="005A37B6">
              <w:rPr>
                <w:sz w:val="26"/>
                <w:szCs w:val="26"/>
              </w:rPr>
              <w:t>để giải quyết thủ tục hành chính.</w:t>
            </w:r>
          </w:p>
          <w:p w14:paraId="2A92CF38" w14:textId="4844E124" w:rsidR="0006775D" w:rsidRPr="005A37B6" w:rsidRDefault="00D12232" w:rsidP="00D12232">
            <w:pPr>
              <w:shd w:val="clear" w:color="auto" w:fill="FFFFFF"/>
              <w:spacing w:before="120" w:after="120" w:line="360" w:lineRule="atLeast"/>
              <w:jc w:val="both"/>
              <w:rPr>
                <w:sz w:val="26"/>
                <w:szCs w:val="26"/>
              </w:rPr>
            </w:pPr>
            <w:r w:rsidRPr="005A37B6">
              <w:rPr>
                <w:sz w:val="26"/>
                <w:szCs w:val="26"/>
                <w:lang w:val="en-US"/>
              </w:rPr>
              <w:t>4. Việc thay thế thành phần hồ sơ bằng thông tin được khai thác trên các cơ sở dữ liệu khi giải quyết thủ tục hành chính cho cá nhân là người Việt Nam sinh sống ở nước ngoài, cá nhân, tổ chức nước ngoài sinh sống, hoạt động tại Việt Nam được thực thi trên cơ sở mức độ đáp ứng của cơ sở dữ liệu</w:t>
            </w:r>
            <w:r w:rsidRPr="005A37B6">
              <w:rPr>
                <w:sz w:val="26"/>
                <w:szCs w:val="26"/>
              </w:rPr>
              <w:t>.</w:t>
            </w:r>
          </w:p>
        </w:tc>
        <w:tc>
          <w:tcPr>
            <w:tcW w:w="4978" w:type="dxa"/>
          </w:tcPr>
          <w:p w14:paraId="5D246CB0" w14:textId="77777777" w:rsidR="0006775D" w:rsidRPr="005A37B6" w:rsidRDefault="00000000">
            <w:pPr>
              <w:widowControl w:val="0"/>
              <w:numPr>
                <w:ilvl w:val="0"/>
                <w:numId w:val="2"/>
              </w:numPr>
              <w:tabs>
                <w:tab w:val="left" w:pos="567"/>
                <w:tab w:val="right" w:pos="8931"/>
              </w:tabs>
              <w:spacing w:before="120" w:line="360" w:lineRule="auto"/>
              <w:ind w:left="0" w:firstLine="0"/>
              <w:jc w:val="both"/>
              <w:rPr>
                <w:sz w:val="26"/>
                <w:szCs w:val="26"/>
              </w:rPr>
            </w:pPr>
            <w:r w:rsidRPr="005A37B6">
              <w:rPr>
                <w:sz w:val="26"/>
                <w:szCs w:val="26"/>
              </w:rPr>
              <w:lastRenderedPageBreak/>
              <w:t>04 nguyên tắc đặt ra nhằm:(i)  tạo cơ sở pháp lý cho việc sử dụng thông tin, dữ liệu trong các cơ sở dữ liệu để thay thế thành phần hồ sơ trong giải quyết thủ tục hành chính, nhằm cắt giảm tối đa yêu cầu nộp giấy tờ của tổ chức, cá nhân; (ii) đảm bảo tuân thủ nguyên tắc “đúng, đủ, sạch, sống, thống nhất, dùng chung” của dữ liệu; đẩy mạnh làm sạch dữ liệu hiện có; tăng cường sử dụng hiệu quả, chất lượng các CSDL chuyên ngành; nâng cao giá trị của thông điệp dữ liệu thay cho tài liệu giấy tở, nhất là việc lưu trữ hồ sơ bảo đảm khai thác trong tương lai; (iii) đảm bảo phù hợp, mang lại lợi ích tối đa cho người dân, doanh nghiệp trong việc thực hiện TTHC.</w:t>
            </w:r>
          </w:p>
          <w:p w14:paraId="596A7181" w14:textId="77777777" w:rsidR="0006775D" w:rsidRPr="005A37B6" w:rsidRDefault="00000000">
            <w:pPr>
              <w:widowControl w:val="0"/>
              <w:numPr>
                <w:ilvl w:val="0"/>
                <w:numId w:val="2"/>
              </w:numPr>
              <w:tabs>
                <w:tab w:val="left" w:pos="567"/>
                <w:tab w:val="right" w:pos="8931"/>
              </w:tabs>
              <w:spacing w:line="360" w:lineRule="auto"/>
              <w:ind w:left="0" w:firstLine="0"/>
              <w:jc w:val="both"/>
              <w:rPr>
                <w:sz w:val="26"/>
                <w:szCs w:val="26"/>
              </w:rPr>
            </w:pPr>
            <w:r w:rsidRPr="005A37B6">
              <w:rPr>
                <w:sz w:val="26"/>
                <w:szCs w:val="26"/>
              </w:rPr>
              <w:t>Việc quy định trường hợp dự phòng (dữ liệu chưa đầy đủ hoặc chưa bảo đảm chính xác, cho phép cơ quan có thẩm quyền yêu cầu bổ sung tài liệu cần thiết để bảo đảm việc giải quyết thủ tục hành chính được thông suốt, không bị gián đoạn.</w:t>
            </w:r>
          </w:p>
          <w:p w14:paraId="63914C56" w14:textId="77777777" w:rsidR="0006775D" w:rsidRPr="005A37B6" w:rsidRDefault="0006775D">
            <w:pPr>
              <w:tabs>
                <w:tab w:val="right" w:pos="8640"/>
              </w:tabs>
              <w:spacing w:before="40" w:after="40" w:line="360" w:lineRule="auto"/>
              <w:jc w:val="both"/>
              <w:rPr>
                <w:b/>
                <w:sz w:val="26"/>
                <w:szCs w:val="26"/>
              </w:rPr>
            </w:pPr>
          </w:p>
        </w:tc>
      </w:tr>
      <w:tr w:rsidR="0006775D" w:rsidRPr="005A37B6" w14:paraId="694E1910" w14:textId="77777777" w:rsidTr="005A37B6">
        <w:tc>
          <w:tcPr>
            <w:tcW w:w="4639" w:type="dxa"/>
          </w:tcPr>
          <w:p w14:paraId="6C4C24ED" w14:textId="77777777" w:rsidR="0006775D" w:rsidRPr="005A37B6" w:rsidRDefault="00000000">
            <w:pPr>
              <w:tabs>
                <w:tab w:val="right" w:pos="8640"/>
              </w:tabs>
              <w:spacing w:before="40" w:after="40" w:line="360" w:lineRule="auto"/>
              <w:jc w:val="both"/>
              <w:rPr>
                <w:sz w:val="26"/>
                <w:szCs w:val="26"/>
              </w:rPr>
            </w:pPr>
            <w:r w:rsidRPr="005A37B6">
              <w:rPr>
                <w:sz w:val="26"/>
                <w:szCs w:val="26"/>
              </w:rPr>
              <w:lastRenderedPageBreak/>
              <w:t xml:space="preserve">Các quy định về cắt giảm thành phần hồ sơ, thay thế bằng dữ liệu được quy định mang tính nguyên tắc, hoặc quy định lẻ tẻ trong các văn bản chuyên ngành khác nhau. Chẳng hạn như: trong lĩnh vực tài chính đã có một số văn bản quy định việc không bắt buộc nộp giấy chứng nhận đăng ký doanh nghiệp; trong lĩnh vực giáo dục và đạo tại, một số thủ tục hành chính đã không cần phải có giấy khai sinh. Tuy nhiên, hiện tại chưa có văn bản quy phạm </w:t>
            </w:r>
            <w:r w:rsidRPr="005A37B6">
              <w:rPr>
                <w:sz w:val="26"/>
                <w:szCs w:val="26"/>
              </w:rPr>
              <w:lastRenderedPageBreak/>
              <w:t>pháp luật quy định thống nhất, đồng bộ việc áp dụng thay thế đồng bộ bằng cơ sở dữ liệu.</w:t>
            </w:r>
          </w:p>
        </w:tc>
        <w:tc>
          <w:tcPr>
            <w:tcW w:w="4520" w:type="dxa"/>
          </w:tcPr>
          <w:p w14:paraId="40319321" w14:textId="77777777" w:rsidR="0006775D" w:rsidRPr="005A37B6" w:rsidRDefault="00000000">
            <w:pPr>
              <w:tabs>
                <w:tab w:val="left" w:pos="567"/>
                <w:tab w:val="right" w:pos="8931"/>
              </w:tabs>
              <w:spacing w:before="120" w:after="120" w:line="360" w:lineRule="auto"/>
              <w:jc w:val="both"/>
              <w:rPr>
                <w:b/>
                <w:sz w:val="26"/>
                <w:szCs w:val="26"/>
              </w:rPr>
            </w:pPr>
            <w:r w:rsidRPr="005A37B6">
              <w:rPr>
                <w:b/>
                <w:sz w:val="26"/>
                <w:szCs w:val="26"/>
              </w:rPr>
              <w:lastRenderedPageBreak/>
              <w:t xml:space="preserve">Điều 3. Cắt giảm, thay thế thông tin trong thành phần hồ sơ thủ tục hành chính đã có dữ liệu trong các cơ sở dữ liệu </w:t>
            </w:r>
          </w:p>
          <w:p w14:paraId="48E63CB8" w14:textId="77777777" w:rsidR="0006775D" w:rsidRPr="005A37B6" w:rsidRDefault="00000000">
            <w:pPr>
              <w:tabs>
                <w:tab w:val="right" w:pos="0"/>
                <w:tab w:val="left" w:pos="567"/>
              </w:tabs>
              <w:spacing w:before="120" w:after="120" w:line="392" w:lineRule="auto"/>
              <w:ind w:firstLine="20"/>
              <w:jc w:val="both"/>
              <w:rPr>
                <w:sz w:val="26"/>
                <w:szCs w:val="26"/>
              </w:rPr>
            </w:pPr>
            <w:r w:rsidRPr="005A37B6">
              <w:rPr>
                <w:sz w:val="26"/>
                <w:szCs w:val="26"/>
              </w:rPr>
              <w:t>1. Thay thế các loại giấy tờ, tài liệu là thành phần hồ sơ thủ tục hành chính bằng các thông tin tương ứng có trong các cơ sở dữ liệu đối với 741 thủ tục hành chính quy định tại Phụ lục I được ban hành kèm theo Nghị quyết này.</w:t>
            </w:r>
          </w:p>
          <w:p w14:paraId="43B42F9E" w14:textId="77777777" w:rsidR="0006775D" w:rsidRPr="005A37B6" w:rsidRDefault="00000000">
            <w:pPr>
              <w:tabs>
                <w:tab w:val="right" w:pos="0"/>
                <w:tab w:val="left" w:pos="567"/>
              </w:tabs>
              <w:spacing w:before="120" w:after="120" w:line="392" w:lineRule="auto"/>
              <w:ind w:firstLine="20"/>
              <w:jc w:val="both"/>
              <w:rPr>
                <w:sz w:val="26"/>
                <w:szCs w:val="26"/>
              </w:rPr>
            </w:pPr>
            <w:r w:rsidRPr="005A37B6">
              <w:rPr>
                <w:sz w:val="26"/>
                <w:szCs w:val="26"/>
              </w:rPr>
              <w:lastRenderedPageBreak/>
              <w:t>2. Cắt giảm các loại giấy tờ, tài liệu không còn cần thiết trong thành phần hồ sơ giải quyết TTHC tại 10 thủ tục hành chính quy định tại Phụ lục II được ban hành kèm theo Nghị quyết này.</w:t>
            </w:r>
          </w:p>
          <w:p w14:paraId="729392E4" w14:textId="77777777" w:rsidR="0006775D" w:rsidRPr="005A37B6" w:rsidRDefault="00000000">
            <w:pPr>
              <w:tabs>
                <w:tab w:val="right" w:pos="0"/>
                <w:tab w:val="left" w:pos="567"/>
              </w:tabs>
              <w:spacing w:before="120" w:after="120" w:line="392" w:lineRule="auto"/>
              <w:ind w:firstLine="20"/>
              <w:jc w:val="both"/>
              <w:rPr>
                <w:sz w:val="26"/>
                <w:szCs w:val="26"/>
              </w:rPr>
            </w:pPr>
            <w:r w:rsidRPr="005A37B6">
              <w:rPr>
                <w:sz w:val="26"/>
                <w:szCs w:val="26"/>
              </w:rPr>
              <w:t>3. Không thực hiện 18 thủ tục hành chính trong các lĩnh vực theo quy định tại Phụ lục III ban hành kèm theo Nghị quyết này.</w:t>
            </w:r>
          </w:p>
        </w:tc>
        <w:tc>
          <w:tcPr>
            <w:tcW w:w="4978" w:type="dxa"/>
          </w:tcPr>
          <w:p w14:paraId="22773482" w14:textId="2473CF98" w:rsidR="0006775D" w:rsidRPr="005A37B6" w:rsidRDefault="00000000">
            <w:pPr>
              <w:tabs>
                <w:tab w:val="right" w:pos="8640"/>
              </w:tabs>
              <w:spacing w:before="40" w:after="40" w:line="360" w:lineRule="auto"/>
              <w:jc w:val="both"/>
              <w:rPr>
                <w:sz w:val="26"/>
                <w:szCs w:val="26"/>
              </w:rPr>
            </w:pPr>
            <w:r w:rsidRPr="005A37B6">
              <w:rPr>
                <w:sz w:val="26"/>
                <w:szCs w:val="26"/>
              </w:rPr>
              <w:lastRenderedPageBreak/>
              <w:t>Kết quả rà soát, tổng hợp đề xuất trong phạm vi cả nước cho thấy, hiện nay, có 75</w:t>
            </w:r>
            <w:r w:rsidR="00D12232" w:rsidRPr="005A37B6">
              <w:rPr>
                <w:sz w:val="26"/>
                <w:szCs w:val="26"/>
              </w:rPr>
              <w:t>0</w:t>
            </w:r>
            <w:r w:rsidRPr="005A37B6">
              <w:rPr>
                <w:sz w:val="26"/>
                <w:szCs w:val="26"/>
              </w:rPr>
              <w:t xml:space="preserve"> TTHC có chưa thành phần hồ sơ cần cắt giảm, thay thế vì đã có thông tin tương ứng trong cơ sở dữ liệu và 1</w:t>
            </w:r>
            <w:r w:rsidR="00D12232" w:rsidRPr="005A37B6">
              <w:rPr>
                <w:sz w:val="26"/>
                <w:szCs w:val="26"/>
              </w:rPr>
              <w:t>8</w:t>
            </w:r>
            <w:r w:rsidRPr="005A37B6">
              <w:rPr>
                <w:sz w:val="26"/>
                <w:szCs w:val="26"/>
              </w:rPr>
              <w:t xml:space="preserve"> TTHC cần bãi bỏ. </w:t>
            </w:r>
          </w:p>
          <w:p w14:paraId="5226267C" w14:textId="77777777" w:rsidR="0006775D" w:rsidRPr="005A37B6" w:rsidRDefault="00000000">
            <w:pPr>
              <w:tabs>
                <w:tab w:val="right" w:pos="8640"/>
              </w:tabs>
              <w:spacing w:before="40" w:after="40" w:line="360" w:lineRule="auto"/>
              <w:jc w:val="both"/>
              <w:rPr>
                <w:sz w:val="26"/>
                <w:szCs w:val="26"/>
              </w:rPr>
            </w:pPr>
            <w:r w:rsidRPr="005A37B6">
              <w:rPr>
                <w:sz w:val="26"/>
                <w:szCs w:val="26"/>
              </w:rPr>
              <w:t xml:space="preserve">Quy định như trên nhằm cụ thể hoá phạm vi điều chỉnh của Nghị quyết; xác định rõ, tách bạch các hình thức thay thế hoặc cắt giảm hoặc bãi bỏ TPHS trong giải quyết TTHC. Cách tiếp cận theo Danh mục thuộc các lĩnh vực quản lý nhà nước sẽ giúp cơ quan, người </w:t>
            </w:r>
            <w:r w:rsidRPr="005A37B6">
              <w:rPr>
                <w:sz w:val="26"/>
                <w:szCs w:val="26"/>
              </w:rPr>
              <w:lastRenderedPageBreak/>
              <w:t>có thẩm quyền dễ dàng tra cứu, áp dụng thống nhất, bảo đảm tính minh bạch, đồng bộ và tránh chồng chéo trong tổ chức thực hiện. Cụ thể, Điều 3 dự kiến quy định theo hướng:</w:t>
            </w:r>
          </w:p>
          <w:p w14:paraId="1C9F32EC" w14:textId="77777777" w:rsidR="0006775D" w:rsidRPr="005A37B6" w:rsidRDefault="00000000">
            <w:pPr>
              <w:tabs>
                <w:tab w:val="right" w:pos="8640"/>
              </w:tabs>
              <w:spacing w:before="40" w:after="40" w:line="360" w:lineRule="auto"/>
              <w:jc w:val="both"/>
              <w:rPr>
                <w:sz w:val="26"/>
                <w:szCs w:val="26"/>
              </w:rPr>
            </w:pPr>
            <w:r w:rsidRPr="005A37B6">
              <w:rPr>
                <w:sz w:val="26"/>
                <w:szCs w:val="26"/>
              </w:rPr>
              <w:t xml:space="preserve">- Phụ lục I quy định các loại giấy tờ trong TPHS giải quyết TTHC được cơ quan nhà nước khai thác từ các CSDL thay vì việc yêu cầu tổ chức, cá nhân cung cấp. </w:t>
            </w:r>
          </w:p>
          <w:p w14:paraId="22715357" w14:textId="77777777" w:rsidR="0006775D" w:rsidRPr="005A37B6" w:rsidRDefault="00000000">
            <w:pPr>
              <w:tabs>
                <w:tab w:val="right" w:pos="8640"/>
              </w:tabs>
              <w:spacing w:before="40" w:after="40" w:line="360" w:lineRule="auto"/>
              <w:jc w:val="both"/>
              <w:rPr>
                <w:sz w:val="26"/>
                <w:szCs w:val="26"/>
              </w:rPr>
            </w:pPr>
            <w:r w:rsidRPr="005A37B6">
              <w:rPr>
                <w:sz w:val="26"/>
                <w:szCs w:val="26"/>
              </w:rPr>
              <w:t>- Phụ lục II quy định việc cắt giảm các loại giấy tờ, tài liệu không còn cần thiết để phục vụ việc giải quyết TTHC.</w:t>
            </w:r>
          </w:p>
          <w:p w14:paraId="7096EEA5" w14:textId="77777777" w:rsidR="0006775D" w:rsidRPr="005A37B6" w:rsidRDefault="00000000">
            <w:pPr>
              <w:tabs>
                <w:tab w:val="right" w:pos="8640"/>
              </w:tabs>
              <w:spacing w:before="40" w:after="40" w:line="360" w:lineRule="auto"/>
              <w:jc w:val="both"/>
              <w:rPr>
                <w:sz w:val="26"/>
                <w:szCs w:val="26"/>
              </w:rPr>
            </w:pPr>
            <w:r w:rsidRPr="005A37B6">
              <w:rPr>
                <w:sz w:val="26"/>
                <w:szCs w:val="26"/>
              </w:rPr>
              <w:t>- Phụ lục III quy định danh mục các TTHC không thực hiện</w:t>
            </w:r>
          </w:p>
        </w:tc>
      </w:tr>
      <w:tr w:rsidR="0006775D" w:rsidRPr="005A37B6" w14:paraId="5868585A" w14:textId="77777777" w:rsidTr="005A37B6">
        <w:tc>
          <w:tcPr>
            <w:tcW w:w="4639" w:type="dxa"/>
          </w:tcPr>
          <w:p w14:paraId="74247505"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lastRenderedPageBreak/>
              <w:t>Danh mục cơ sở dữ liệu quốc gia được ban hành tại Phụ lục kèm theo Nghị định số 47/2024/NĐ-CP quy định về danh mục cơ sở dữ liệu quốc gia; việc xây dựng, cập nhật, duy trì, khai thác và sử dụng cơ sở dữ liệu quốc gia.</w:t>
            </w:r>
          </w:p>
          <w:p w14:paraId="35AA2479" w14:textId="77777777" w:rsidR="0006775D" w:rsidRPr="005A37B6" w:rsidRDefault="00000000">
            <w:pPr>
              <w:pBdr>
                <w:top w:val="nil"/>
                <w:left w:val="nil"/>
                <w:bottom w:val="nil"/>
                <w:right w:val="nil"/>
                <w:between w:val="nil"/>
              </w:pBdr>
              <w:tabs>
                <w:tab w:val="left" w:pos="567"/>
                <w:tab w:val="right" w:pos="8931"/>
              </w:tabs>
              <w:spacing w:line="360" w:lineRule="auto"/>
              <w:jc w:val="both"/>
              <w:rPr>
                <w:b/>
                <w:sz w:val="26"/>
                <w:szCs w:val="26"/>
              </w:rPr>
            </w:pPr>
            <w:r w:rsidRPr="005A37B6">
              <w:rPr>
                <w:sz w:val="26"/>
                <w:szCs w:val="26"/>
              </w:rPr>
              <w:t xml:space="preserve">Đối với các CSDL khác có thể khai thác được thì phải bảo đảm theo nguyên tắc và </w:t>
            </w:r>
            <w:r w:rsidRPr="005A37B6">
              <w:rPr>
                <w:sz w:val="26"/>
                <w:szCs w:val="26"/>
              </w:rPr>
              <w:lastRenderedPageBreak/>
              <w:t>yếu tố cơ bản của CSDLQG tại Điều 4, Điều 8, Điều 10… của Nghị định số 47/2024/NĐ-CP.</w:t>
            </w:r>
          </w:p>
        </w:tc>
        <w:tc>
          <w:tcPr>
            <w:tcW w:w="4520" w:type="dxa"/>
          </w:tcPr>
          <w:p w14:paraId="5B45FFE9" w14:textId="77777777" w:rsidR="0006775D" w:rsidRPr="005A37B6" w:rsidRDefault="00000000">
            <w:pPr>
              <w:tabs>
                <w:tab w:val="left" w:pos="567"/>
                <w:tab w:val="right" w:pos="8931"/>
              </w:tabs>
              <w:spacing w:line="360" w:lineRule="auto"/>
              <w:jc w:val="both"/>
              <w:rPr>
                <w:b/>
                <w:sz w:val="26"/>
                <w:szCs w:val="26"/>
              </w:rPr>
            </w:pPr>
            <w:r w:rsidRPr="005A37B6">
              <w:rPr>
                <w:b/>
                <w:sz w:val="26"/>
                <w:szCs w:val="26"/>
              </w:rPr>
              <w:lastRenderedPageBreak/>
              <w:t xml:space="preserve">Điều 4. Thông tin trên cơ sở dữ liệu được khai thác và sử dụng thay thế thành phần hồ sơ thủ tục hành chính </w:t>
            </w:r>
          </w:p>
          <w:p w14:paraId="27777233"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1. Thông tin trên Cơ sở dữ liệu quốc gia về dân cư được khai thác và sử dụng thay thế các giấy tờ sau:</w:t>
            </w:r>
          </w:p>
          <w:p w14:paraId="2C64DF3A"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lastRenderedPageBreak/>
              <w:t>a) Chứng minh nhân dân hoặc Căn cước công dân hoặc Căn cước;</w:t>
            </w:r>
          </w:p>
          <w:p w14:paraId="34D47F99"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b) Sổ hộ khẩu.</w:t>
            </w:r>
          </w:p>
          <w:p w14:paraId="572FEE04"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2. Thông tin trên Cơ sở dữ liệu hộ tịch điện tử được khai thác và sử dụng thay thế các giấy tờ sau:</w:t>
            </w:r>
          </w:p>
          <w:p w14:paraId="64CAFCB2"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a) Giấy khai sinh;</w:t>
            </w:r>
          </w:p>
          <w:p w14:paraId="5A4D326C"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b) Giấy chứng nhận kết hôn;</w:t>
            </w:r>
          </w:p>
          <w:p w14:paraId="5E943971"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c) Giấy xác nhận tình trạng hôn nhân;</w:t>
            </w:r>
          </w:p>
          <w:p w14:paraId="776C8694"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d) Giấy chứng tử hoặc Trích lục khai tử.</w:t>
            </w:r>
          </w:p>
          <w:p w14:paraId="1973D680"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3. Thông tin trên Cơ sở dữ liệu quốc gia về bảo hiểm được khai thác và sử dụng thay thế các giấy tờ sau:</w:t>
            </w:r>
          </w:p>
          <w:p w14:paraId="0BF8B45C"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a) Thẻ bảo hiểm y tế;</w:t>
            </w:r>
          </w:p>
          <w:p w14:paraId="5F2BE850"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b) Thẻ bảo hiểm xã hội;</w:t>
            </w:r>
          </w:p>
          <w:p w14:paraId="327C3C6D"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 xml:space="preserve">c) Giấy về bảo hiểm thất nghiệp.  </w:t>
            </w:r>
          </w:p>
          <w:p w14:paraId="6326E2A2"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lastRenderedPageBreak/>
              <w:t>4. Thông tin trên Cơ sở dữ liệu giấy phép được khai thác và sử dụng thay thế các giấy tờ sau:</w:t>
            </w:r>
          </w:p>
          <w:p w14:paraId="65D1542A"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a) Giấy phép lái xe;</w:t>
            </w:r>
          </w:p>
          <w:p w14:paraId="2A96BE01"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b) Bằng lái xe.</w:t>
            </w:r>
          </w:p>
          <w:p w14:paraId="7403F1AB"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5. Thông tin trên Cơ sở dữ liệu quốc gia về đăng ký doanh nghiệp được khai thác và sử dụng thay thế các giấy tờ sau:</w:t>
            </w:r>
          </w:p>
          <w:p w14:paraId="565B2DFF"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a) Giấy chứng nhận đăng ký doanh nghiệp;</w:t>
            </w:r>
          </w:p>
          <w:p w14:paraId="030079AA"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b) Giấy chứng nhận đăng ký hộ kinh doanh;</w:t>
            </w:r>
          </w:p>
          <w:p w14:paraId="4448230F"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c) Giấy đăng ký kinh doanh;</w:t>
            </w:r>
          </w:p>
          <w:p w14:paraId="1E75C80D"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6. Thông tin trên Cơ sở dữ liệu về đăng ký phương tiện được khai thác và sử dụng thay thế Đăng ký xe.</w:t>
            </w:r>
          </w:p>
          <w:p w14:paraId="27885DC9"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 xml:space="preserve">7. Thông tin trên Cơ sở dữ liệu quốc gia về đất đai được khai thác và sử dụng thay </w:t>
            </w:r>
            <w:r w:rsidRPr="005A37B6">
              <w:rPr>
                <w:sz w:val="26"/>
                <w:szCs w:val="26"/>
              </w:rPr>
              <w:lastRenderedPageBreak/>
              <w:t>thế Giấy chứng nhận quyền sử dụng đất, quyền sở hữu tài sản gắn liền với đất.</w:t>
            </w:r>
          </w:p>
          <w:p w14:paraId="3582B14D"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8. Thông tin trên Cơ sở dữ liệu lý lịch tư pháp được khai thác và sử dụng thay thế Phiếu lý lịch tư pháp.</w:t>
            </w:r>
          </w:p>
          <w:p w14:paraId="71D8A32C" w14:textId="77777777" w:rsidR="0006775D" w:rsidRPr="005A37B6" w:rsidRDefault="00000000">
            <w:pPr>
              <w:shd w:val="clear" w:color="auto" w:fill="FFFFFF"/>
              <w:spacing w:before="120" w:after="120" w:line="392" w:lineRule="auto"/>
              <w:ind w:firstLine="20"/>
              <w:jc w:val="both"/>
              <w:rPr>
                <w:sz w:val="26"/>
                <w:szCs w:val="26"/>
              </w:rPr>
            </w:pPr>
            <w:r w:rsidRPr="005A37B6">
              <w:rPr>
                <w:sz w:val="26"/>
                <w:szCs w:val="26"/>
              </w:rPr>
              <w:t>9. Thông tin trên Cơ sở dữ liệu nền tảng sổ sức khoẻ điện tử được khai thác và sử dụng thay thế Giấy khám sức khỏe.</w:t>
            </w:r>
          </w:p>
          <w:p w14:paraId="1EF8C4C6" w14:textId="77777777" w:rsidR="0006775D" w:rsidRPr="005A37B6" w:rsidRDefault="00000000">
            <w:pPr>
              <w:shd w:val="clear" w:color="auto" w:fill="FFFFFF"/>
              <w:spacing w:line="360" w:lineRule="auto"/>
              <w:jc w:val="both"/>
              <w:rPr>
                <w:sz w:val="26"/>
                <w:szCs w:val="26"/>
              </w:rPr>
            </w:pPr>
            <w:r w:rsidRPr="005A37B6">
              <w:rPr>
                <w:sz w:val="26"/>
                <w:szCs w:val="26"/>
              </w:rPr>
              <w:t xml:space="preserve">10. Đối với các cơ sở dữ liệu chuyên ngành không thuộc quy định từ khoản 1 đến khoản 9 Điều này, sau khi hoàn thành việc kết nối, chia sẻ dữ liệu bắt buộc thì người đề nghị giải quyết thủ tục hành chính, cơ quan giải quyết thủ tục hành chính có trách nhiệm khai thác, sử dụng thông tin để thay thế cho các loại thông tin, thành phần hồ sơ giải quyết thủ tục hành chính. Bộ trưởng, Thủ trưởng cơ quan ngang bộ, Chủ tịch Ủy ban nhân dân </w:t>
            </w:r>
            <w:r w:rsidRPr="005A37B6">
              <w:rPr>
                <w:sz w:val="26"/>
                <w:szCs w:val="26"/>
              </w:rPr>
              <w:lastRenderedPageBreak/>
              <w:t>các tỉnh, thành phố có trách nhiệm công bố thủ tục hành chính để thực hiện.</w:t>
            </w:r>
          </w:p>
        </w:tc>
        <w:tc>
          <w:tcPr>
            <w:tcW w:w="4978" w:type="dxa"/>
          </w:tcPr>
          <w:p w14:paraId="48A1A816" w14:textId="77777777" w:rsidR="0006775D" w:rsidRPr="005A37B6" w:rsidRDefault="00000000">
            <w:pPr>
              <w:spacing w:line="360" w:lineRule="auto"/>
              <w:jc w:val="both"/>
              <w:rPr>
                <w:sz w:val="26"/>
                <w:szCs w:val="26"/>
              </w:rPr>
            </w:pPr>
            <w:r w:rsidRPr="005A37B6">
              <w:rPr>
                <w:sz w:val="26"/>
                <w:szCs w:val="26"/>
              </w:rPr>
              <w:lastRenderedPageBreak/>
              <w:t xml:space="preserve">Trên cơ sở kết quả rà soát, đánh giá hiện trạng, mô hình hệ thống thông tin; khả năng sẵn sàng kết nối, chia sẻ cơ sở dữ liệu, dự thảo đã quy định cụ thể 18 loại giấy tờ trên 09 Cơ sở dữ liệu thực hiện khai thác sử dụng ngay. </w:t>
            </w:r>
          </w:p>
          <w:p w14:paraId="7CBA2AC1" w14:textId="77777777" w:rsidR="0006775D" w:rsidRPr="005A37B6" w:rsidRDefault="00000000">
            <w:pPr>
              <w:spacing w:line="360" w:lineRule="auto"/>
              <w:jc w:val="both"/>
              <w:rPr>
                <w:sz w:val="26"/>
                <w:szCs w:val="26"/>
              </w:rPr>
            </w:pPr>
            <w:r w:rsidRPr="005A37B6">
              <w:rPr>
                <w:sz w:val="26"/>
                <w:szCs w:val="26"/>
              </w:rPr>
              <w:t xml:space="preserve">Việc xác định rõ các loại giấy tờ và cơ sở dữ liệu thay thế nhằm đảm bảo tính khả thi, thống nhất áp dụng trong phạm vi cả nước sau khi </w:t>
            </w:r>
            <w:r w:rsidRPr="005A37B6">
              <w:rPr>
                <w:sz w:val="26"/>
                <w:szCs w:val="26"/>
              </w:rPr>
              <w:lastRenderedPageBreak/>
              <w:t>Nghị quyết được ban hành; tạo điều kiện thuận lợi cho cá nhân, tổ chức khi thực hiện thủ tục hành chính. Bên cạnh đó, quy định này cũng phù hợp với sự cần thiết, tính cấp thiết  của văn bản. Theo đó, ngay sau khi ban hành, Nghị quyết sẽ triển khai thi hành được luôn, không cần chờ văn bản/công văn hướng dẫn.</w:t>
            </w:r>
          </w:p>
          <w:p w14:paraId="0D073B5B" w14:textId="77777777" w:rsidR="0006775D" w:rsidRPr="005A37B6" w:rsidRDefault="0006775D">
            <w:pPr>
              <w:spacing w:line="360" w:lineRule="auto"/>
              <w:jc w:val="both"/>
              <w:rPr>
                <w:sz w:val="26"/>
                <w:szCs w:val="26"/>
              </w:rPr>
            </w:pPr>
          </w:p>
          <w:p w14:paraId="697CD4AB" w14:textId="77777777" w:rsidR="0006775D" w:rsidRPr="005A37B6" w:rsidRDefault="0006775D">
            <w:pPr>
              <w:spacing w:line="360" w:lineRule="auto"/>
              <w:jc w:val="both"/>
              <w:rPr>
                <w:sz w:val="26"/>
                <w:szCs w:val="26"/>
              </w:rPr>
            </w:pPr>
          </w:p>
          <w:p w14:paraId="74F79051" w14:textId="77777777" w:rsidR="0006775D" w:rsidRPr="005A37B6" w:rsidRDefault="00000000">
            <w:pPr>
              <w:spacing w:line="360" w:lineRule="auto"/>
              <w:jc w:val="both"/>
              <w:rPr>
                <w:sz w:val="26"/>
                <w:szCs w:val="26"/>
              </w:rPr>
            </w:pPr>
            <w:r w:rsidRPr="005A37B6">
              <w:rPr>
                <w:sz w:val="26"/>
                <w:szCs w:val="26"/>
              </w:rPr>
              <w:t xml:space="preserve">Ngoài quy định “cứng” danh mục các loại giấy tờ và cơ sở dữ liệu thực hiện chia sẻ, thay thế, dự thảo Nghị quyết còn quy định “mở rộng” đối với các cơ sở dữ liệu hiện tại chưa thể thực hiện ngay việc kết nối chia sẻ. Theo đó, sau khi hoàn thành việc kết nối, chia sẻ thì các cá nhân, tổ chức có liên quan bắt buộc khai thác, sử dụng thông tin để thay thế cho các loại thông tin, thành phần hồ sơ để giải quyết thủ tục hành chính. Quy định này đảm bảo nguyên tắc “sống” của cơ sở dữ liệu và tạo cơ sở pháp lý cho việc liên tục cập nhật cơ sở dữ liệu để thay thế cho hồ sơ, giấy tờ giấy. </w:t>
            </w:r>
          </w:p>
        </w:tc>
      </w:tr>
      <w:tr w:rsidR="0006775D" w:rsidRPr="005A37B6" w14:paraId="7E67F019" w14:textId="77777777" w:rsidTr="005A37B6">
        <w:tc>
          <w:tcPr>
            <w:tcW w:w="4639" w:type="dxa"/>
          </w:tcPr>
          <w:p w14:paraId="36126850" w14:textId="77777777" w:rsidR="0006775D" w:rsidRPr="005A37B6" w:rsidRDefault="0006775D">
            <w:pPr>
              <w:tabs>
                <w:tab w:val="right" w:pos="0"/>
                <w:tab w:val="left" w:pos="567"/>
              </w:tabs>
              <w:spacing w:before="40" w:after="40" w:line="360" w:lineRule="auto"/>
              <w:ind w:firstLine="567"/>
              <w:jc w:val="both"/>
              <w:rPr>
                <w:b/>
                <w:sz w:val="26"/>
                <w:szCs w:val="26"/>
              </w:rPr>
            </w:pPr>
          </w:p>
        </w:tc>
        <w:tc>
          <w:tcPr>
            <w:tcW w:w="4520" w:type="dxa"/>
          </w:tcPr>
          <w:p w14:paraId="7B3882F3" w14:textId="77777777" w:rsidR="0006775D" w:rsidRPr="005A37B6" w:rsidRDefault="00000000">
            <w:pPr>
              <w:spacing w:before="120" w:after="120" w:line="360" w:lineRule="auto"/>
              <w:jc w:val="both"/>
              <w:rPr>
                <w:b/>
                <w:sz w:val="26"/>
                <w:szCs w:val="26"/>
              </w:rPr>
            </w:pPr>
            <w:r w:rsidRPr="005A37B6">
              <w:rPr>
                <w:b/>
                <w:sz w:val="26"/>
                <w:szCs w:val="26"/>
              </w:rPr>
              <w:t>Điều 5. Tổ chức thi hành</w:t>
            </w:r>
          </w:p>
          <w:p w14:paraId="4204A5D4"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1. Các cơ quan chủ quản cơ sở dữ liệu quốc gia, cơ sở dữ liệu chuyên ngành quy định tại Điều 4 Nghị quyết này hoàn thành việc</w:t>
            </w:r>
            <w:r w:rsidRPr="005A37B6">
              <w:rPr>
                <w:b/>
                <w:sz w:val="26"/>
                <w:szCs w:val="26"/>
              </w:rPr>
              <w:t xml:space="preserve"> làm sạch và chia sẻ dữ liệu </w:t>
            </w:r>
            <w:r w:rsidRPr="005A37B6">
              <w:rPr>
                <w:sz w:val="26"/>
                <w:szCs w:val="26"/>
              </w:rPr>
              <w:t xml:space="preserve">trước ngày 01 tháng 01 năm 2026. Việc kết nối, chia sẻ dữ liệu bảo đảm yêu cầu người dân chỉ kê khai thông tin </w:t>
            </w:r>
            <w:r w:rsidRPr="005A37B6">
              <w:rPr>
                <w:b/>
                <w:sz w:val="26"/>
                <w:szCs w:val="26"/>
              </w:rPr>
              <w:t>một lần</w:t>
            </w:r>
            <w:r w:rsidRPr="005A37B6">
              <w:rPr>
                <w:sz w:val="26"/>
                <w:szCs w:val="26"/>
              </w:rPr>
              <w:t xml:space="preserve"> khi giải quyết các thủ tục hành chính.</w:t>
            </w:r>
          </w:p>
          <w:p w14:paraId="475A921A"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2. Bộ trưởng, Thủ trưởng cơ quan ngang bộ có tách nhiệm:</w:t>
            </w:r>
          </w:p>
          <w:p w14:paraId="78A3D259"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a) Hoàn thành tái cấu trúc quy trình giải quyết thủ tục hành chính đối với các thủ tục hành chính sử dụng dữ liệu thay thế thành phần hồ sơ quy định tại Điều 4 Nghị quyết này trước ngày 01 tháng 12 năm 2025.</w:t>
            </w:r>
          </w:p>
          <w:p w14:paraId="3FC9978B"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 xml:space="preserve">b) Bảo đảm điều kiện để kết nối, khai thác, sử dụng các thông tin trong cơ sở dữ </w:t>
            </w:r>
            <w:r w:rsidRPr="005A37B6">
              <w:rPr>
                <w:sz w:val="26"/>
                <w:szCs w:val="26"/>
              </w:rPr>
              <w:lastRenderedPageBreak/>
              <w:t>liệu thông suốt. Việc khắc phục sai sót, thực hiện đồng bộ dữ liệu, nâng cấp hệ thống phải bảo đảm không làm ảnh hưởng đến kết nối, khai thác dữ liệu để giải quyết thủ tục hành chính.</w:t>
            </w:r>
          </w:p>
          <w:p w14:paraId="33C78909"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c) Rà soát, tham mưu cơ quan, cá nhân có thẩm quyền sửa đổi, bổ sung các luật, nghị quyết của Quốc hội, pháp lệnh của Ủy ban Thường vụ Quốc hội theo Phụ lục IV kèm theo Nghị quyết này, bảo đảm có hiệu lực trước ngày 01 tháng 3 năm 2027. Ban hành theo thẩm quyền hoặc trình Chính phủ, Thủ tướng Chính phủ ban hành văn bản quy phạm pháp luật để cắt giảm, đơn giản hóa thủ tục hành chính theo hình thức một văn bản sửa nhiều văn bản để bảo đảm tính thống nhất, đồng bộ, bảo đảm có hiệu lực trước ngày 01 tháng 3 năm 2027.</w:t>
            </w:r>
          </w:p>
          <w:p w14:paraId="08E0FA6F"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 xml:space="preserve">3. Chủ tịch Ủy ban nhân dân các tỉnh, thành phố có trách nhiệm hoàn thành tái cấu trúc quy trình giải quyết thủ tục hành </w:t>
            </w:r>
            <w:r w:rsidRPr="005A37B6">
              <w:rPr>
                <w:sz w:val="26"/>
                <w:szCs w:val="26"/>
              </w:rPr>
              <w:lastRenderedPageBreak/>
              <w:t>chính đối với các thủ tục hành chính do địa phương ban hành sử dụng dữ liệu thay thế thành phần hồ sơ quy định tại Điều 4 Nghị quyết này trước ngày 01 tháng 01 năm 2026.</w:t>
            </w:r>
          </w:p>
          <w:p w14:paraId="39F437D6"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4. Bộ Công an có trách nhiệm theo dõi, kiểm tra việc xây dựng các cơ sở dữ liệu bảo đảm kết nối, khai thác, sử dụng theo đúng quy định.</w:t>
            </w:r>
          </w:p>
          <w:p w14:paraId="690ED977"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 xml:space="preserve">5. Văn phòng Chính phủ có trách nhiệm theo dõi, đôn đốc, kiểm tra việc thực hiện Nghị quyết này. </w:t>
            </w:r>
          </w:p>
          <w:p w14:paraId="79B9AA6E" w14:textId="77777777" w:rsidR="0006775D" w:rsidRPr="005A37B6" w:rsidRDefault="00000000">
            <w:pPr>
              <w:pBdr>
                <w:top w:val="nil"/>
                <w:left w:val="nil"/>
                <w:bottom w:val="nil"/>
                <w:right w:val="nil"/>
                <w:between w:val="nil"/>
              </w:pBdr>
              <w:tabs>
                <w:tab w:val="left" w:pos="567"/>
                <w:tab w:val="right" w:pos="8931"/>
              </w:tabs>
              <w:spacing w:line="360" w:lineRule="auto"/>
              <w:jc w:val="both"/>
              <w:rPr>
                <w:sz w:val="26"/>
                <w:szCs w:val="26"/>
              </w:rPr>
            </w:pPr>
            <w:r w:rsidRPr="005A37B6">
              <w:rPr>
                <w:sz w:val="26"/>
                <w:szCs w:val="26"/>
              </w:rPr>
              <w:t>6. Bộ trưởng, Thủ trưởng cơ quan ngang bộ, Chủ tịch Ủy ban nhân dân các tỉnh, thành phố chịu trách nhiệm thi hành Nghị quyết này. Hội đồng nhân dân, các ban của Hội đồng nhân dân, đại biểu Hội đồng nhân dân, Mặt trận Tổ quốc Việt Nam các cấp, trong phạm vi nhiệm vụ, quyền hạn của mình, tăng cường giám sát việc thực hiện Nghị quyết này.</w:t>
            </w:r>
          </w:p>
        </w:tc>
        <w:tc>
          <w:tcPr>
            <w:tcW w:w="4978" w:type="dxa"/>
          </w:tcPr>
          <w:p w14:paraId="62CC35FF" w14:textId="77777777" w:rsidR="0006775D" w:rsidRPr="005A37B6" w:rsidRDefault="0006775D">
            <w:pPr>
              <w:tabs>
                <w:tab w:val="right" w:pos="0"/>
                <w:tab w:val="left" w:pos="567"/>
              </w:tabs>
              <w:spacing w:before="40" w:after="40" w:line="360" w:lineRule="auto"/>
              <w:jc w:val="both"/>
              <w:rPr>
                <w:sz w:val="26"/>
                <w:szCs w:val="26"/>
              </w:rPr>
            </w:pPr>
          </w:p>
          <w:p w14:paraId="4F40512D" w14:textId="77777777" w:rsidR="0006775D" w:rsidRPr="005A37B6" w:rsidRDefault="00000000">
            <w:pPr>
              <w:tabs>
                <w:tab w:val="right" w:pos="0"/>
                <w:tab w:val="left" w:pos="567"/>
              </w:tabs>
              <w:spacing w:before="40" w:after="40" w:line="360" w:lineRule="auto"/>
              <w:jc w:val="both"/>
              <w:rPr>
                <w:sz w:val="26"/>
                <w:szCs w:val="26"/>
              </w:rPr>
            </w:pPr>
            <w:r w:rsidRPr="005A37B6">
              <w:rPr>
                <w:sz w:val="26"/>
                <w:szCs w:val="26"/>
              </w:rPr>
              <w:t xml:space="preserve">Việc quy định rõ trách nhiệm của các cơ quan, bộ, ngành, địa phương là nhằm đảm bảo tính khả thi của Nghị quyết. Với nguyên tắc rõ đối tượng, rõ nhiệm vụ, dự thảo Nghị quyết đã cụ thể hóa trách nhiệm của cơ quan chủ quản cơ sở dữ liệu quốc gia, cơ sở dữ liệu chuyên ngành đối với việc làm sạch và chi sẻ dữ liệu. Theo đó, nhiệm vụ này phải được thực hiện trước 01/01/2026, cá nhân, tổ chức chỉ cần kê khai thông tin </w:t>
            </w:r>
            <w:r w:rsidRPr="005A37B6">
              <w:rPr>
                <w:b/>
                <w:sz w:val="26"/>
                <w:szCs w:val="26"/>
              </w:rPr>
              <w:t>một lần</w:t>
            </w:r>
            <w:r w:rsidRPr="005A37B6">
              <w:rPr>
                <w:sz w:val="26"/>
                <w:szCs w:val="26"/>
              </w:rPr>
              <w:t xml:space="preserve">. </w:t>
            </w:r>
          </w:p>
          <w:p w14:paraId="71770782" w14:textId="77777777" w:rsidR="0006775D" w:rsidRPr="005A37B6" w:rsidRDefault="00000000">
            <w:pPr>
              <w:tabs>
                <w:tab w:val="right" w:pos="0"/>
                <w:tab w:val="left" w:pos="567"/>
              </w:tabs>
              <w:spacing w:before="40" w:after="40" w:line="360" w:lineRule="auto"/>
              <w:jc w:val="both"/>
              <w:rPr>
                <w:sz w:val="26"/>
                <w:szCs w:val="26"/>
              </w:rPr>
            </w:pPr>
            <w:r w:rsidRPr="005A37B6">
              <w:rPr>
                <w:sz w:val="26"/>
                <w:szCs w:val="26"/>
              </w:rPr>
              <w:t xml:space="preserve"> Đối với trách nhiệm của các bộ, cơ quan ngang bộ, các tỉnh, thành phố: dự thảo Nghị quyết đã quy định cụ thể nhiệm vụ, tiến độ thực hiện. </w:t>
            </w:r>
          </w:p>
        </w:tc>
      </w:tr>
      <w:tr w:rsidR="0006775D" w:rsidRPr="005A37B6" w14:paraId="2B006F80" w14:textId="77777777" w:rsidTr="005A37B6">
        <w:tc>
          <w:tcPr>
            <w:tcW w:w="4639" w:type="dxa"/>
          </w:tcPr>
          <w:p w14:paraId="7472E23E" w14:textId="77777777" w:rsidR="0006775D" w:rsidRPr="005A37B6" w:rsidRDefault="00000000">
            <w:pPr>
              <w:pBdr>
                <w:top w:val="nil"/>
                <w:left w:val="nil"/>
                <w:bottom w:val="nil"/>
                <w:right w:val="nil"/>
                <w:between w:val="nil"/>
              </w:pBdr>
              <w:tabs>
                <w:tab w:val="left" w:pos="567"/>
                <w:tab w:val="right" w:pos="8931"/>
              </w:tabs>
              <w:spacing w:before="120" w:after="120" w:line="360" w:lineRule="auto"/>
              <w:jc w:val="both"/>
              <w:rPr>
                <w:sz w:val="26"/>
                <w:szCs w:val="26"/>
              </w:rPr>
            </w:pPr>
            <w:r w:rsidRPr="005A37B6">
              <w:rPr>
                <w:sz w:val="26"/>
                <w:szCs w:val="26"/>
              </w:rPr>
              <w:lastRenderedPageBreak/>
              <w:t>Điểm d khoản 2 Điều 4 Nghị quyết số 206/2025/QH15 quy định: “d) Nghị quyết của Chính phủ phải xác định rõ thời điểm hết hiệu lực thi hành nhưng phải trước ngày 01 tháng 3 năm 2027; danh mục văn bản quy phạm pháp luật và điều, khoản, điểm được đề xuất sửa đổi, bổ sung để bảo đảm tính thống nhất, đồng bộ”</w:t>
            </w:r>
          </w:p>
        </w:tc>
        <w:tc>
          <w:tcPr>
            <w:tcW w:w="4520" w:type="dxa"/>
          </w:tcPr>
          <w:p w14:paraId="765E6BC4" w14:textId="77777777" w:rsidR="0006775D" w:rsidRPr="005A37B6" w:rsidRDefault="00000000">
            <w:pPr>
              <w:tabs>
                <w:tab w:val="left" w:pos="567"/>
                <w:tab w:val="right" w:pos="8931"/>
              </w:tabs>
              <w:spacing w:before="120" w:after="120" w:line="360" w:lineRule="auto"/>
              <w:jc w:val="both"/>
              <w:rPr>
                <w:b/>
                <w:color w:val="000000"/>
                <w:sz w:val="26"/>
                <w:szCs w:val="26"/>
              </w:rPr>
            </w:pPr>
            <w:r w:rsidRPr="005A37B6">
              <w:rPr>
                <w:b/>
                <w:color w:val="000000"/>
                <w:sz w:val="26"/>
                <w:szCs w:val="26"/>
              </w:rPr>
              <w:t>Điều 6. Hiệu lực thi hành</w:t>
            </w:r>
          </w:p>
          <w:p w14:paraId="1F59392A" w14:textId="77777777" w:rsidR="0006775D" w:rsidRPr="005A37B6" w:rsidRDefault="00000000">
            <w:pPr>
              <w:spacing w:before="120" w:after="120" w:line="392" w:lineRule="auto"/>
              <w:ind w:firstLine="20"/>
              <w:jc w:val="both"/>
              <w:rPr>
                <w:sz w:val="26"/>
                <w:szCs w:val="26"/>
              </w:rPr>
            </w:pPr>
            <w:r w:rsidRPr="005A37B6">
              <w:rPr>
                <w:sz w:val="26"/>
                <w:szCs w:val="26"/>
              </w:rPr>
              <w:t>1. Nghị quyết này có hiệu lực thi hành từ ngày 15 tháng 11 năm 2025 đến hết ngày 28 tháng 02 năm 2027.</w:t>
            </w:r>
          </w:p>
          <w:p w14:paraId="3CF2B695" w14:textId="77777777" w:rsidR="0006775D" w:rsidRPr="005A37B6" w:rsidRDefault="00000000">
            <w:pPr>
              <w:spacing w:before="120" w:after="120" w:line="392" w:lineRule="auto"/>
              <w:ind w:firstLine="20"/>
              <w:jc w:val="both"/>
              <w:rPr>
                <w:sz w:val="26"/>
                <w:szCs w:val="26"/>
              </w:rPr>
            </w:pPr>
            <w:r w:rsidRPr="005A37B6">
              <w:rPr>
                <w:sz w:val="26"/>
                <w:szCs w:val="26"/>
              </w:rPr>
              <w:t>2. Trong thời gian Nghị quyết này có hiệu lực, nếu luật, nghị quyết của Quốc hội, pháp lệnh, nghị quyết của Ủy ban Thường vụ Quốc hội, nghị định, nghị quyết của Chính phủ có quy định về thủ tục hành chính liên quan đến quy định tại Nghị quyết này được thông qua hoặc ban hành, có hiệu lực trước ngày 01 tháng 3 năm 2027 thì các quy định tương ứng trong Nghị quyết này hết hiệu lực tại thời điểm các văn bản quy phạm pháp luật đó có hiệu lực.</w:t>
            </w:r>
          </w:p>
          <w:p w14:paraId="4653400E" w14:textId="77777777" w:rsidR="0006775D" w:rsidRPr="005A37B6" w:rsidRDefault="00000000">
            <w:pPr>
              <w:spacing w:before="120" w:after="120" w:line="360" w:lineRule="auto"/>
              <w:jc w:val="both"/>
              <w:rPr>
                <w:sz w:val="26"/>
                <w:szCs w:val="26"/>
              </w:rPr>
            </w:pPr>
            <w:r w:rsidRPr="005A37B6">
              <w:rPr>
                <w:sz w:val="26"/>
                <w:szCs w:val="26"/>
              </w:rPr>
              <w:t xml:space="preserve">3. Trong thời gian các quy định của Nghị quyết này có hiệu lực, nếu quy định về thủ tục hành chính trong Nghị quyết này khác </w:t>
            </w:r>
            <w:r w:rsidRPr="005A37B6">
              <w:rPr>
                <w:sz w:val="26"/>
                <w:szCs w:val="26"/>
              </w:rPr>
              <w:lastRenderedPageBreak/>
              <w:t>với các văn bản quy phạm pháp luật có liên quan thì thực hiện theo quy định tại Nghị quyết này</w:t>
            </w:r>
          </w:p>
        </w:tc>
        <w:tc>
          <w:tcPr>
            <w:tcW w:w="4978" w:type="dxa"/>
          </w:tcPr>
          <w:p w14:paraId="02CD2F55" w14:textId="77777777" w:rsidR="0006775D" w:rsidRPr="005A37B6" w:rsidRDefault="00000000">
            <w:pPr>
              <w:tabs>
                <w:tab w:val="right" w:pos="0"/>
                <w:tab w:val="left" w:pos="567"/>
              </w:tabs>
              <w:spacing w:before="40" w:after="40" w:line="360" w:lineRule="auto"/>
              <w:jc w:val="both"/>
              <w:rPr>
                <w:sz w:val="26"/>
                <w:szCs w:val="26"/>
              </w:rPr>
            </w:pPr>
            <w:r w:rsidRPr="005A37B6">
              <w:rPr>
                <w:sz w:val="26"/>
                <w:szCs w:val="26"/>
              </w:rPr>
              <w:lastRenderedPageBreak/>
              <w:t>Tiểm d khoản 2 Điều 4 Nghị quyết số 206/2025/QH15 quy định: “</w:t>
            </w:r>
            <w:r w:rsidRPr="005A37B6">
              <w:rPr>
                <w:i/>
                <w:sz w:val="26"/>
                <w:szCs w:val="26"/>
              </w:rPr>
              <w:t>Nghị quyết của Chính phủ phải xác định rõ thời điểm hết hiệu lực thi hành nhưng phải trước ngày 01 tháng 3 năm 2027; danh mục văn bản quy phạm pháp luật và điều, khoản, điểm được đề xuất sửa đổi, bổ sung để bảo đảm tính thống nhất, đồng bộ</w:t>
            </w:r>
            <w:r w:rsidRPr="005A37B6">
              <w:rPr>
                <w:sz w:val="26"/>
                <w:szCs w:val="26"/>
              </w:rPr>
              <w:t>”. Theo đó, dự thảo Nghị quyết xác định có hiệu lực thi hành từ ngày 15 tháng 11 năm 2025 đến hết ngày 28 tháng 02 năm 2027;  trường hợp luật, nghị quyết của Quốc hội, pháp lệnh, nghị quyết của Ủy ban Thường vụ Quốc hội, nghị định, nghị quyết của Chính phủ có quy định về TTHC liên quan đến quy định tại Nghị quyết này được thông qua hoặc ban hành, có hiệu lực trước ngày 01/3/2027 thì các quy định tương ứng trong Nghị quyết này hết hiệu lực tại thời điểm các VBQPPL đó có hiệu lực.</w:t>
            </w:r>
          </w:p>
          <w:p w14:paraId="7A29A734" w14:textId="09EFB318" w:rsidR="0006775D" w:rsidRPr="005A37B6" w:rsidRDefault="00000000">
            <w:pPr>
              <w:tabs>
                <w:tab w:val="right" w:pos="0"/>
                <w:tab w:val="left" w:pos="567"/>
              </w:tabs>
              <w:spacing w:before="40" w:after="40" w:line="360" w:lineRule="auto"/>
              <w:jc w:val="both"/>
              <w:rPr>
                <w:sz w:val="26"/>
                <w:szCs w:val="26"/>
              </w:rPr>
            </w:pPr>
            <w:r w:rsidRPr="005A37B6">
              <w:rPr>
                <w:sz w:val="26"/>
                <w:szCs w:val="26"/>
              </w:rPr>
              <w:lastRenderedPageBreak/>
              <w:t>Như vậy, việc quy định như trên sẽ bảo đảm sự đồng bộ, tránh chồng chéo giữa các VBQPPL trong giai đoạn chuyển tiếp.</w:t>
            </w:r>
          </w:p>
        </w:tc>
      </w:tr>
      <w:tr w:rsidR="0006775D" w:rsidRPr="005A37B6" w14:paraId="328E45E8" w14:textId="77777777" w:rsidTr="005A37B6">
        <w:tc>
          <w:tcPr>
            <w:tcW w:w="4639" w:type="dxa"/>
          </w:tcPr>
          <w:p w14:paraId="4AC253D9" w14:textId="77777777" w:rsidR="0006775D" w:rsidRPr="005A37B6" w:rsidRDefault="00000000">
            <w:pPr>
              <w:tabs>
                <w:tab w:val="right" w:pos="0"/>
                <w:tab w:val="left" w:pos="567"/>
              </w:tabs>
              <w:spacing w:before="40" w:after="40" w:line="360" w:lineRule="auto"/>
              <w:jc w:val="both"/>
              <w:rPr>
                <w:sz w:val="26"/>
                <w:szCs w:val="26"/>
              </w:rPr>
            </w:pPr>
            <w:r w:rsidRPr="005A37B6">
              <w:rPr>
                <w:sz w:val="26"/>
                <w:szCs w:val="26"/>
              </w:rPr>
              <w:lastRenderedPageBreak/>
              <w:t>Quy định hiện hành về các TTHC có thành phần hồ sơ có thể thay thế bằng dữ liệu được quy định tại nhiều VBQPPL chuyên ngành. Nội dung này đã được tổng hợp, hệ thống hóa trong Phụ lục I kèm theo dự thảo Nghị quyết để làm căn cứ xem xét việc thay thế thành phần hồ sơ bằng dữ liệu tương ứng từ các CSDL</w:t>
            </w:r>
          </w:p>
        </w:tc>
        <w:tc>
          <w:tcPr>
            <w:tcW w:w="4520" w:type="dxa"/>
          </w:tcPr>
          <w:p w14:paraId="1C177736" w14:textId="77777777" w:rsidR="0006775D" w:rsidRPr="005A37B6" w:rsidRDefault="00000000">
            <w:pPr>
              <w:widowControl w:val="0"/>
              <w:spacing w:before="120" w:line="360" w:lineRule="auto"/>
              <w:jc w:val="both"/>
              <w:rPr>
                <w:sz w:val="26"/>
                <w:szCs w:val="26"/>
              </w:rPr>
            </w:pPr>
            <w:r w:rsidRPr="005A37B6">
              <w:rPr>
                <w:b/>
                <w:sz w:val="26"/>
                <w:szCs w:val="26"/>
              </w:rPr>
              <w:t>Phụ lục I quy định các loại giấy tờ trong thành phần hồ sơ giải quyết TTHC được cơ quan nhà nước khai thác từ các CSDL thay vì việc yêu cầu tổ chức, cá nhân cung cấp</w:t>
            </w:r>
            <w:r w:rsidRPr="005A37B6">
              <w:rPr>
                <w:sz w:val="26"/>
                <w:szCs w:val="26"/>
              </w:rPr>
              <w:t xml:space="preserve">. </w:t>
            </w:r>
          </w:p>
          <w:p w14:paraId="4B45221E" w14:textId="77777777" w:rsidR="0006775D" w:rsidRPr="005A37B6" w:rsidRDefault="0006775D">
            <w:pPr>
              <w:tabs>
                <w:tab w:val="right" w:pos="0"/>
                <w:tab w:val="left" w:pos="567"/>
              </w:tabs>
              <w:spacing w:before="40" w:after="40" w:line="360" w:lineRule="auto"/>
              <w:jc w:val="both"/>
              <w:rPr>
                <w:b/>
                <w:sz w:val="26"/>
                <w:szCs w:val="26"/>
              </w:rPr>
            </w:pPr>
          </w:p>
        </w:tc>
        <w:tc>
          <w:tcPr>
            <w:tcW w:w="4978" w:type="dxa"/>
          </w:tcPr>
          <w:p w14:paraId="363AA806" w14:textId="2355B407" w:rsidR="0006775D" w:rsidRPr="005A37B6" w:rsidRDefault="00000000">
            <w:pPr>
              <w:widowControl w:val="0"/>
              <w:spacing w:before="120" w:line="360" w:lineRule="auto"/>
              <w:ind w:firstLine="567"/>
              <w:jc w:val="both"/>
              <w:rPr>
                <w:sz w:val="26"/>
                <w:szCs w:val="26"/>
              </w:rPr>
            </w:pPr>
            <w:r w:rsidRPr="005A37B6">
              <w:rPr>
                <w:sz w:val="26"/>
                <w:szCs w:val="26"/>
              </w:rPr>
              <w:t xml:space="preserve">Phụ lục I </w:t>
            </w:r>
            <w:r w:rsidR="00D12232" w:rsidRPr="005A37B6">
              <w:rPr>
                <w:sz w:val="26"/>
                <w:szCs w:val="26"/>
              </w:rPr>
              <w:t>ban han hành</w:t>
            </w:r>
            <w:r w:rsidRPr="005A37B6">
              <w:rPr>
                <w:sz w:val="26"/>
                <w:szCs w:val="26"/>
              </w:rPr>
              <w:t xml:space="preserve"> kèm Nghị quyết xác định các trường hợp thông tin trong thành phần hồ sơ cần thiết để phục vụ việc giải quyết TTHC nhưng có thể thay thế bằng việc cơ quan có thẩm quyền khai thác trong cơ sở dữ liệu, không yêu cầu cá nhân, tổ chức cung cấp thì đề xuất thay thế thành phần hồ sơ bằng khai thác dữ liệu. </w:t>
            </w:r>
          </w:p>
          <w:p w14:paraId="034CC0D4" w14:textId="77777777" w:rsidR="0006775D" w:rsidRPr="005A37B6" w:rsidRDefault="00000000">
            <w:pPr>
              <w:tabs>
                <w:tab w:val="left" w:pos="567"/>
                <w:tab w:val="right" w:pos="8931"/>
              </w:tabs>
              <w:spacing w:before="120" w:line="360" w:lineRule="auto"/>
              <w:ind w:firstLine="567"/>
              <w:jc w:val="both"/>
              <w:rPr>
                <w:b/>
                <w:sz w:val="26"/>
                <w:szCs w:val="26"/>
              </w:rPr>
            </w:pPr>
            <w:r w:rsidRPr="005A37B6">
              <w:rPr>
                <w:sz w:val="26"/>
                <w:szCs w:val="26"/>
              </w:rPr>
              <w:t xml:space="preserve">Theo đó, phụ lục I thống kê 741 TTHC, trong đó xác định cụ thể tên TTHC, mã TTHC, thành phần hồ sơ đề nghị thay thế, tên cơ sở dữ liệu quy định thành phần hồ sơ có thể thay thế và nêu rõ căn cứ pháp lý để thực thi. </w:t>
            </w:r>
          </w:p>
        </w:tc>
      </w:tr>
      <w:tr w:rsidR="0006775D" w:rsidRPr="005A37B6" w14:paraId="41CBB90C" w14:textId="77777777" w:rsidTr="005A37B6">
        <w:tc>
          <w:tcPr>
            <w:tcW w:w="4639" w:type="dxa"/>
          </w:tcPr>
          <w:p w14:paraId="171C944D" w14:textId="77777777" w:rsidR="0006775D" w:rsidRPr="005A37B6" w:rsidRDefault="00000000">
            <w:pPr>
              <w:pBdr>
                <w:top w:val="nil"/>
                <w:left w:val="nil"/>
                <w:bottom w:val="nil"/>
                <w:right w:val="nil"/>
                <w:between w:val="nil"/>
              </w:pBdr>
              <w:spacing w:line="360" w:lineRule="auto"/>
              <w:jc w:val="both"/>
              <w:rPr>
                <w:sz w:val="26"/>
                <w:szCs w:val="26"/>
              </w:rPr>
            </w:pPr>
            <w:r w:rsidRPr="005A37B6">
              <w:rPr>
                <w:sz w:val="26"/>
                <w:szCs w:val="26"/>
              </w:rPr>
              <w:t xml:space="preserve">Quy định hiện hành về các TTHC có thành phần hồ sơ không còn cần thiết được quy định tại nhiều VBQPPL chuyên ngành. Các nội dung này đã được tổng hợp, hệ thống hóa trong Phụ lục II kèm theo dự </w:t>
            </w:r>
            <w:r w:rsidRPr="005A37B6">
              <w:rPr>
                <w:sz w:val="26"/>
                <w:szCs w:val="26"/>
              </w:rPr>
              <w:lastRenderedPageBreak/>
              <w:t>thảo Nghị quyết để làm căn cứ xem xét việc cắt giảm các thành phần hồ sơ nhằm đơn giản hóa TTHC</w:t>
            </w:r>
          </w:p>
        </w:tc>
        <w:tc>
          <w:tcPr>
            <w:tcW w:w="4520" w:type="dxa"/>
          </w:tcPr>
          <w:p w14:paraId="3E720F3C" w14:textId="77777777" w:rsidR="0006775D" w:rsidRPr="005A37B6" w:rsidRDefault="00000000">
            <w:pPr>
              <w:spacing w:line="360" w:lineRule="auto"/>
              <w:jc w:val="both"/>
              <w:rPr>
                <w:b/>
                <w:sz w:val="26"/>
                <w:szCs w:val="26"/>
              </w:rPr>
            </w:pPr>
            <w:r w:rsidRPr="005A37B6">
              <w:rPr>
                <w:b/>
                <w:sz w:val="26"/>
                <w:szCs w:val="26"/>
              </w:rPr>
              <w:lastRenderedPageBreak/>
              <w:t>Phụ lục II quy định việc cắt giảm thành phần hồ sơ không còn cần thiết để phục vụ việc giải quyết TTHC</w:t>
            </w:r>
          </w:p>
        </w:tc>
        <w:tc>
          <w:tcPr>
            <w:tcW w:w="4978" w:type="dxa"/>
          </w:tcPr>
          <w:p w14:paraId="38BF52A7" w14:textId="77777777" w:rsidR="0006775D" w:rsidRPr="005A37B6" w:rsidRDefault="00000000">
            <w:pPr>
              <w:spacing w:line="360" w:lineRule="auto"/>
              <w:jc w:val="both"/>
              <w:rPr>
                <w:sz w:val="26"/>
                <w:szCs w:val="26"/>
              </w:rPr>
            </w:pPr>
            <w:r w:rsidRPr="005A37B6">
              <w:rPr>
                <w:sz w:val="26"/>
                <w:szCs w:val="26"/>
              </w:rPr>
              <w:t xml:space="preserve">Phụ lục II xác định với các trường hợp thông tin trong thành phần hồ sơ không còn cần thiết để phục vụ việc giải quyết TTHC thì đề xuất cắt giảm hoàn toàn thành phần hồ sơ này, giúp bảo đảm nâng cao hiệu quả, tính minh bạch </w:t>
            </w:r>
            <w:r w:rsidRPr="005A37B6">
              <w:rPr>
                <w:sz w:val="26"/>
                <w:szCs w:val="26"/>
              </w:rPr>
              <w:lastRenderedPageBreak/>
              <w:t>trong giải quyết TTHC. Theo đó, đề xuất cắt giảm sẽ góp phần đơn giản hóa TTHC, cắt giảm thành phần hồ sơ phù hợp tinh thần chỉ đạo của các chỉ đạo của Bộ chính trị, Chính phủ... như Nghị quyết 57-NQ/TW; Nghị quyết 68-NQ/TW; Kết luận 195-KL/TW; Nghị quyết số 66/NQ-CP....</w:t>
            </w:r>
          </w:p>
          <w:p w14:paraId="1EA1D742" w14:textId="29E84331" w:rsidR="0006775D" w:rsidRPr="005A37B6" w:rsidRDefault="00000000" w:rsidP="00D12232">
            <w:pPr>
              <w:spacing w:line="360" w:lineRule="auto"/>
              <w:jc w:val="both"/>
              <w:rPr>
                <w:sz w:val="26"/>
                <w:szCs w:val="26"/>
              </w:rPr>
            </w:pPr>
            <w:r w:rsidRPr="005A37B6">
              <w:rPr>
                <w:sz w:val="26"/>
                <w:szCs w:val="26"/>
              </w:rPr>
              <w:t>Như vậy, phục lục II đã thống kê ... TTHC có thể cắt giảm thành phần hồ sơ không còn cần thiết để phục vụ việc giải quyết TTHC.</w:t>
            </w:r>
          </w:p>
        </w:tc>
      </w:tr>
      <w:tr w:rsidR="0006775D" w:rsidRPr="005A37B6" w14:paraId="3720CDF9" w14:textId="77777777" w:rsidTr="005A37B6">
        <w:trPr>
          <w:trHeight w:val="521"/>
        </w:trPr>
        <w:tc>
          <w:tcPr>
            <w:tcW w:w="4639" w:type="dxa"/>
            <w:vAlign w:val="center"/>
          </w:tcPr>
          <w:p w14:paraId="3F86D26F" w14:textId="25037F07" w:rsidR="0006775D" w:rsidRPr="005A37B6" w:rsidRDefault="00000000">
            <w:pPr>
              <w:pBdr>
                <w:top w:val="nil"/>
                <w:left w:val="nil"/>
                <w:bottom w:val="nil"/>
                <w:right w:val="nil"/>
                <w:between w:val="nil"/>
              </w:pBdr>
              <w:spacing w:before="40" w:after="40" w:line="360" w:lineRule="auto"/>
              <w:jc w:val="both"/>
              <w:rPr>
                <w:color w:val="000000"/>
                <w:sz w:val="26"/>
                <w:szCs w:val="26"/>
              </w:rPr>
            </w:pPr>
            <w:r w:rsidRPr="005A37B6">
              <w:rPr>
                <w:sz w:val="26"/>
                <w:szCs w:val="26"/>
              </w:rPr>
              <w:lastRenderedPageBreak/>
              <w:t>Các TTHC dự kiến bãi bỏ hiện đa</w:t>
            </w:r>
            <w:r w:rsidR="005A37B6">
              <w:rPr>
                <w:sz w:val="26"/>
                <w:szCs w:val="26"/>
              </w:rPr>
              <w:t>n</w:t>
            </w:r>
            <w:r w:rsidRPr="005A37B6">
              <w:rPr>
                <w:sz w:val="26"/>
                <w:szCs w:val="26"/>
              </w:rPr>
              <w:t xml:space="preserve">g được quy định tại nhiều văn bản QPPL chuyên ngành. Các nội dung này đã được tổng hợp, hệ thống hóa trong Phụ lục III kèm theo dự thảo Nghị quyết để làm căn cứ xem xét việc bãi bỏ </w:t>
            </w:r>
          </w:p>
        </w:tc>
        <w:tc>
          <w:tcPr>
            <w:tcW w:w="4520" w:type="dxa"/>
          </w:tcPr>
          <w:p w14:paraId="3243B455" w14:textId="2DBA3020" w:rsidR="0006775D" w:rsidRPr="005A37B6" w:rsidRDefault="00000000">
            <w:pPr>
              <w:tabs>
                <w:tab w:val="left" w:pos="567"/>
                <w:tab w:val="right" w:pos="8931"/>
              </w:tabs>
              <w:spacing w:before="120" w:line="360" w:lineRule="auto"/>
              <w:jc w:val="both"/>
              <w:rPr>
                <w:b/>
                <w:i/>
                <w:sz w:val="26"/>
                <w:szCs w:val="26"/>
              </w:rPr>
            </w:pPr>
            <w:r w:rsidRPr="005A37B6">
              <w:rPr>
                <w:b/>
                <w:sz w:val="26"/>
                <w:szCs w:val="26"/>
              </w:rPr>
              <w:t xml:space="preserve">Phụ lục III quy định danh mục các TTHC </w:t>
            </w:r>
            <w:r w:rsidR="00D12232" w:rsidRPr="005A37B6">
              <w:rPr>
                <w:b/>
                <w:sz w:val="26"/>
                <w:szCs w:val="26"/>
              </w:rPr>
              <w:t>không phải thực hiện</w:t>
            </w:r>
            <w:r w:rsidRPr="005A37B6">
              <w:rPr>
                <w:b/>
                <w:sz w:val="26"/>
                <w:szCs w:val="26"/>
              </w:rPr>
              <w:t xml:space="preserve">.  </w:t>
            </w:r>
          </w:p>
          <w:p w14:paraId="6A69E9B5" w14:textId="77777777" w:rsidR="0006775D" w:rsidRPr="005A37B6" w:rsidRDefault="0006775D">
            <w:pPr>
              <w:spacing w:line="360" w:lineRule="auto"/>
              <w:jc w:val="both"/>
              <w:rPr>
                <w:sz w:val="26"/>
                <w:szCs w:val="26"/>
              </w:rPr>
            </w:pPr>
          </w:p>
        </w:tc>
        <w:tc>
          <w:tcPr>
            <w:tcW w:w="4978" w:type="dxa"/>
          </w:tcPr>
          <w:p w14:paraId="7C37B3DF" w14:textId="681DACEF" w:rsidR="0006775D" w:rsidRPr="005A37B6" w:rsidRDefault="00000000">
            <w:pPr>
              <w:tabs>
                <w:tab w:val="left" w:pos="567"/>
                <w:tab w:val="right" w:pos="8931"/>
              </w:tabs>
              <w:spacing w:before="120" w:line="360" w:lineRule="auto"/>
              <w:jc w:val="both"/>
              <w:rPr>
                <w:sz w:val="26"/>
                <w:szCs w:val="26"/>
              </w:rPr>
            </w:pPr>
            <w:r w:rsidRPr="005A37B6">
              <w:rPr>
                <w:sz w:val="26"/>
                <w:szCs w:val="26"/>
              </w:rPr>
              <w:t>Phụ lục III xác định trong quá trình rà soát, đánh giá, trường hợp sử dụng dữ liệu đã đảm bảo quản lý nhà nước mà không cần quy định về TTHC thì đề xuất bãi bỏ, nhằm loại bỏ các thủ tục không còn phù hợp, trùng lặp hoặc gây phiền hà cho tổ chức, cá nhân trong quá trình thực hiện</w:t>
            </w:r>
            <w:r w:rsidR="00D12232" w:rsidRPr="005A37B6">
              <w:rPr>
                <w:sz w:val="26"/>
                <w:szCs w:val="26"/>
              </w:rPr>
              <w:t>; qua đó, giúp giảm chi phí tuân thủ cho tổ chức, cá nhân và chính cơ quan nhà nước.</w:t>
            </w:r>
          </w:p>
          <w:p w14:paraId="7FFC5A29" w14:textId="048B80E2" w:rsidR="0006775D" w:rsidRPr="005A37B6" w:rsidRDefault="00000000">
            <w:pPr>
              <w:tabs>
                <w:tab w:val="left" w:pos="567"/>
                <w:tab w:val="right" w:pos="8931"/>
              </w:tabs>
              <w:spacing w:before="120" w:line="360" w:lineRule="auto"/>
              <w:jc w:val="both"/>
              <w:rPr>
                <w:sz w:val="26"/>
                <w:szCs w:val="26"/>
              </w:rPr>
            </w:pPr>
            <w:r w:rsidRPr="005A37B6">
              <w:rPr>
                <w:sz w:val="26"/>
                <w:szCs w:val="26"/>
              </w:rPr>
              <w:t xml:space="preserve">Hiện có nhiều TTHC đang được đề xuất bãi bỏ tại các Quyết định của Thủ tướng Chính </w:t>
            </w:r>
            <w:r w:rsidRPr="005A37B6">
              <w:rPr>
                <w:sz w:val="26"/>
                <w:szCs w:val="26"/>
              </w:rPr>
              <w:lastRenderedPageBreak/>
              <w:t>phủ về phê duyệt Phương án cắt giảm, đơn giản hoá TTHC liên quan đến nhiều ngành, lĩnh vực do các bộ, cơ quan ngang bộ đang quản lý. Do vậy, các bộ ngành địa phương đề xuất bãi bỏ TTHC nói trên tại dự thảo Nghị quyết này</w:t>
            </w:r>
            <w:r w:rsidR="00D12232" w:rsidRPr="005A37B6">
              <w:rPr>
                <w:sz w:val="26"/>
                <w:szCs w:val="26"/>
              </w:rPr>
              <w:t xml:space="preserve"> để có thể thực thi ngay</w:t>
            </w:r>
            <w:r w:rsidRPr="005A37B6">
              <w:rPr>
                <w:sz w:val="26"/>
                <w:szCs w:val="26"/>
              </w:rPr>
              <w:t>.</w:t>
            </w:r>
          </w:p>
          <w:p w14:paraId="0F1BC352" w14:textId="77777777" w:rsidR="0006775D" w:rsidRPr="005A37B6" w:rsidRDefault="00000000">
            <w:pPr>
              <w:tabs>
                <w:tab w:val="left" w:pos="567"/>
                <w:tab w:val="right" w:pos="8931"/>
              </w:tabs>
              <w:spacing w:before="120" w:line="360" w:lineRule="auto"/>
              <w:jc w:val="both"/>
              <w:rPr>
                <w:sz w:val="26"/>
                <w:szCs w:val="26"/>
              </w:rPr>
            </w:pPr>
            <w:r w:rsidRPr="005A37B6">
              <w:rPr>
                <w:sz w:val="26"/>
                <w:szCs w:val="26"/>
              </w:rPr>
              <w:t xml:space="preserve">Theo đó, phụ luc III đã thống kê 18 thủ tục hành chính không thực hiện trong các lĩnh vực. </w:t>
            </w:r>
          </w:p>
        </w:tc>
      </w:tr>
      <w:tr w:rsidR="0006775D" w:rsidRPr="005A37B6" w14:paraId="354256AF" w14:textId="77777777" w:rsidTr="005A37B6">
        <w:trPr>
          <w:trHeight w:val="521"/>
        </w:trPr>
        <w:tc>
          <w:tcPr>
            <w:tcW w:w="4639" w:type="dxa"/>
            <w:vAlign w:val="center"/>
          </w:tcPr>
          <w:p w14:paraId="008A913E" w14:textId="77777777" w:rsidR="0006775D" w:rsidRPr="005A37B6" w:rsidRDefault="0006775D">
            <w:pPr>
              <w:pBdr>
                <w:top w:val="nil"/>
                <w:left w:val="nil"/>
                <w:bottom w:val="nil"/>
                <w:right w:val="nil"/>
                <w:between w:val="nil"/>
              </w:pBdr>
              <w:spacing w:before="40" w:after="40" w:line="360" w:lineRule="auto"/>
              <w:jc w:val="both"/>
              <w:rPr>
                <w:color w:val="000000"/>
                <w:sz w:val="26"/>
                <w:szCs w:val="26"/>
              </w:rPr>
            </w:pPr>
          </w:p>
        </w:tc>
        <w:tc>
          <w:tcPr>
            <w:tcW w:w="4520" w:type="dxa"/>
          </w:tcPr>
          <w:p w14:paraId="5EF2AB72" w14:textId="77777777" w:rsidR="0006775D" w:rsidRPr="005A37B6" w:rsidRDefault="00000000">
            <w:pPr>
              <w:spacing w:line="360" w:lineRule="auto"/>
              <w:jc w:val="both"/>
              <w:rPr>
                <w:sz w:val="26"/>
                <w:szCs w:val="26"/>
              </w:rPr>
            </w:pPr>
            <w:r w:rsidRPr="005A37B6">
              <w:rPr>
                <w:b/>
                <w:color w:val="000000"/>
                <w:sz w:val="26"/>
                <w:szCs w:val="26"/>
              </w:rPr>
              <w:t xml:space="preserve">Phụ lục IV </w:t>
            </w:r>
            <w:r w:rsidRPr="005A37B6">
              <w:rPr>
                <w:color w:val="000000"/>
                <w:sz w:val="26"/>
                <w:szCs w:val="26"/>
              </w:rPr>
              <w:t>thống kê danh mục văn bản quy phạm pháp luật và điều khoản điểm được đề xuất sửa đổi, bổ sung</w:t>
            </w:r>
            <w:r w:rsidRPr="005A37B6">
              <w:rPr>
                <w:sz w:val="26"/>
                <w:szCs w:val="26"/>
              </w:rPr>
              <w:t>.</w:t>
            </w:r>
          </w:p>
        </w:tc>
        <w:tc>
          <w:tcPr>
            <w:tcW w:w="4978" w:type="dxa"/>
          </w:tcPr>
          <w:p w14:paraId="1EA82FE6" w14:textId="77777777" w:rsidR="0006775D" w:rsidRPr="005A37B6" w:rsidRDefault="00000000">
            <w:pPr>
              <w:spacing w:before="40" w:after="40" w:line="360" w:lineRule="auto"/>
              <w:ind w:right="141"/>
              <w:jc w:val="both"/>
              <w:rPr>
                <w:sz w:val="26"/>
                <w:szCs w:val="26"/>
              </w:rPr>
            </w:pPr>
            <w:r w:rsidRPr="005A37B6">
              <w:rPr>
                <w:sz w:val="26"/>
                <w:szCs w:val="26"/>
              </w:rPr>
              <w:t>Việc thống kê Danh mục này nhằm đảm bảo tính thống nhất, đồng bộ của hệ thống pháp luật. Nội dung này giúp khắc phục các quy định chưa phù hợp, trùng lặp hoặc mâu thuẫn giữa các văn bản hiện hành, đồng thời làm căn cứ để các VBQPPL quy định chi tiết và biện pháp thi hành có cơ sở quy định thay thế, cắt giảm hoặc bãi bỏ thành phần hồ sơ trong các TTHC thông qua việc khai thác, sử dụng dữ liệu từ các cơ sở dữ liệu quốc gia.</w:t>
            </w:r>
          </w:p>
        </w:tc>
      </w:tr>
    </w:tbl>
    <w:p w14:paraId="4D044008" w14:textId="77777777" w:rsidR="0006775D" w:rsidRPr="005A37B6" w:rsidRDefault="00000000">
      <w:pPr>
        <w:tabs>
          <w:tab w:val="center" w:pos="2297"/>
          <w:tab w:val="right" w:pos="4595"/>
        </w:tabs>
        <w:spacing w:line="360" w:lineRule="auto"/>
        <w:jc w:val="both"/>
        <w:rPr>
          <w:b/>
          <w:sz w:val="26"/>
          <w:szCs w:val="26"/>
        </w:rPr>
      </w:pPr>
      <w:r w:rsidRPr="005A37B6">
        <w:rPr>
          <w:b/>
          <w:sz w:val="26"/>
          <w:szCs w:val="26"/>
        </w:rPr>
        <w:t xml:space="preserve"> </w:t>
      </w:r>
    </w:p>
    <w:sectPr w:rsidR="0006775D" w:rsidRPr="005A37B6">
      <w:headerReference w:type="default" r:id="rId9"/>
      <w:pgSz w:w="15840" w:h="12240" w:orient="landscape"/>
      <w:pgMar w:top="737" w:right="1021" w:bottom="737" w:left="1134"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2C3DA" w14:textId="77777777" w:rsidR="009C6099" w:rsidRDefault="009C6099">
      <w:r>
        <w:separator/>
      </w:r>
    </w:p>
  </w:endnote>
  <w:endnote w:type="continuationSeparator" w:id="0">
    <w:p w14:paraId="1BC8EB0C" w14:textId="77777777" w:rsidR="009C6099" w:rsidRDefault="009C60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5C5B631-C238-43FE-B58C-A4D9C24164EE}"/>
  </w:font>
  <w:font w:name="Tahoma">
    <w:panose1 w:val="020B0604030504040204"/>
    <w:charset w:val="00"/>
    <w:family w:val="swiss"/>
    <w:pitch w:val="variable"/>
    <w:sig w:usb0="E1002EFF" w:usb1="C000605B" w:usb2="00000029" w:usb3="00000000" w:csb0="000101FF" w:csb1="00000000"/>
    <w:embedRegular r:id="rId2" w:fontKey="{A83F7060-35F8-493F-BAAE-CF482D1A5F95}"/>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3" w:fontKey="{006D2F9A-F5C2-4158-A27E-669CCE824FF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911CC2" w14:textId="77777777" w:rsidR="009C6099" w:rsidRDefault="009C6099">
      <w:r>
        <w:separator/>
      </w:r>
    </w:p>
  </w:footnote>
  <w:footnote w:type="continuationSeparator" w:id="0">
    <w:p w14:paraId="68E8FBC8" w14:textId="77777777" w:rsidR="009C6099" w:rsidRDefault="009C60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8A7E6" w14:textId="77777777" w:rsidR="0006775D"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BB1690">
      <w:rPr>
        <w:noProof/>
        <w:color w:val="000000"/>
      </w:rPr>
      <w:t>2</w:t>
    </w:r>
    <w:r>
      <w:rPr>
        <w:color w:val="000000"/>
      </w:rPr>
      <w:fldChar w:fldCharType="end"/>
    </w:r>
  </w:p>
  <w:p w14:paraId="0E4E20AA" w14:textId="77777777" w:rsidR="0006775D" w:rsidRDefault="0006775D">
    <w:pPr>
      <w:pBdr>
        <w:top w:val="nil"/>
        <w:left w:val="nil"/>
        <w:bottom w:val="nil"/>
        <w:right w:val="nil"/>
        <w:between w:val="nil"/>
      </w:pBdr>
      <w:tabs>
        <w:tab w:val="center" w:pos="4680"/>
        <w:tab w:val="right" w:pos="9360"/>
      </w:tabs>
      <w:jc w:val="center"/>
      <w:rPr>
        <w:color w:val="000000"/>
      </w:rPr>
    </w:pPr>
  </w:p>
  <w:p w14:paraId="6647C1D8" w14:textId="77777777" w:rsidR="0006775D" w:rsidRDefault="0006775D">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45B3F9"/>
    <w:multiLevelType w:val="singleLevel"/>
    <w:tmpl w:val="DC901DE8"/>
    <w:lvl w:ilvl="0">
      <w:start w:val="1"/>
      <w:numFmt w:val="decimal"/>
      <w:suff w:val="space"/>
      <w:lvlText w:val="%1."/>
      <w:lvlJc w:val="left"/>
      <w:rPr>
        <w:color w:val="000000" w:themeColor="text1"/>
      </w:rPr>
    </w:lvl>
  </w:abstractNum>
  <w:abstractNum w:abstractNumId="1" w15:restartNumberingAfterBreak="0">
    <w:nsid w:val="010E2932"/>
    <w:multiLevelType w:val="multilevel"/>
    <w:tmpl w:val="DB8E56D8"/>
    <w:lvl w:ilvl="0">
      <w:start w:val="1"/>
      <w:numFmt w:val="decimal"/>
      <w:lvlText w:val="%1."/>
      <w:lvlJc w:val="left"/>
      <w:pPr>
        <w:ind w:left="720" w:hanging="360"/>
      </w:pPr>
      <w:rPr>
        <w:rFonts w:ascii="Times New Roman" w:eastAsia="Times New Roman" w:hAnsi="Times New Roman" w:cs="Times New Roman"/>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693A9F"/>
    <w:multiLevelType w:val="multilevel"/>
    <w:tmpl w:val="3B92E3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EBB4B74"/>
    <w:multiLevelType w:val="multilevel"/>
    <w:tmpl w:val="AB9E43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84754351">
    <w:abstractNumId w:val="3"/>
  </w:num>
  <w:num w:numId="2" w16cid:durableId="482507949">
    <w:abstractNumId w:val="2"/>
  </w:num>
  <w:num w:numId="3" w16cid:durableId="344941349">
    <w:abstractNumId w:val="1"/>
  </w:num>
  <w:num w:numId="4" w16cid:durableId="15944376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775D"/>
    <w:rsid w:val="0006775D"/>
    <w:rsid w:val="001A3810"/>
    <w:rsid w:val="00322B62"/>
    <w:rsid w:val="003C2CD2"/>
    <w:rsid w:val="00423D9A"/>
    <w:rsid w:val="005A37B6"/>
    <w:rsid w:val="005B34EF"/>
    <w:rsid w:val="00925932"/>
    <w:rsid w:val="009C6099"/>
    <w:rsid w:val="00BB1690"/>
    <w:rsid w:val="00D122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862097"/>
  <w15:docId w15:val="{8CBDB2ED-12C2-4D53-A1CF-E0C8E0693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outlineLvl w:val="5"/>
    </w:pPr>
    <w:rPr>
      <w:i/>
      <w:color w:val="595959"/>
    </w:rPr>
  </w:style>
  <w:style w:type="paragraph" w:styleId="Heading7">
    <w:name w:val="heading 7"/>
    <w:basedOn w:val="Normal"/>
    <w:next w:val="Normal"/>
    <w:link w:val="Heading7Char"/>
    <w:uiPriority w:val="9"/>
    <w:semiHidden/>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Calibri" w:eastAsia="Calibri" w:hAnsi="Calibri" w:cs="Calibri"/>
      <w:sz w:val="56"/>
      <w:szCs w:val="56"/>
    </w:rPr>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BodyTextIndent">
    <w:name w:val="Body Text Indent"/>
    <w:basedOn w:val="Normal"/>
    <w:link w:val="BodyTextIndentChar"/>
    <w:pPr>
      <w:spacing w:after="120"/>
      <w:ind w:left="360"/>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widowControl w:val="0"/>
    </w:pPr>
    <w:rPr>
      <w:rFonts w:ascii="Courier New" w:eastAsia="Courier New" w:hAnsi="Courier New" w:cs="Courier New"/>
      <w:color w:val="000000"/>
      <w:sz w:val="20"/>
      <w:szCs w:val="20"/>
      <w:lang w:val="vi-VN" w:eastAsia="vi-VN"/>
    </w:rPr>
  </w:style>
  <w:style w:type="character" w:styleId="Emphasis">
    <w:name w:val="Emphasis"/>
    <w:basedOn w:val="DefaultParagraphFont"/>
    <w:qFormat/>
    <w:rPr>
      <w:i/>
      <w:iCs/>
    </w:rPr>
  </w:style>
  <w:style w:type="paragraph" w:styleId="Footer">
    <w:name w:val="footer"/>
    <w:basedOn w:val="Normal"/>
    <w:link w:val="FooterChar"/>
    <w:uiPriority w:val="99"/>
    <w:unhideWhenUsed/>
    <w:pPr>
      <w:tabs>
        <w:tab w:val="center" w:pos="4680"/>
        <w:tab w:val="right" w:pos="9360"/>
      </w:tabs>
    </w:pPr>
  </w:style>
  <w:style w:type="character" w:styleId="FootnoteReference">
    <w:name w:val="footnote reference"/>
    <w:link w:val="RefChar"/>
    <w:qFormat/>
    <w:rPr>
      <w:vertAlign w:val="superscript"/>
    </w:rPr>
  </w:style>
  <w:style w:type="paragraph" w:customStyle="1" w:styleId="RefChar">
    <w:name w:val="Ref Char"/>
    <w:basedOn w:val="Normal"/>
    <w:link w:val="FootnoteReference"/>
    <w:qFormat/>
    <w:pPr>
      <w:spacing w:after="160" w:line="240" w:lineRule="exact"/>
    </w:pPr>
    <w:rPr>
      <w:rFonts w:asciiTheme="minorHAnsi" w:eastAsiaTheme="minorHAnsi" w:hAnsiTheme="minorHAnsi" w:cstheme="minorBidi"/>
      <w:kern w:val="2"/>
      <w:sz w:val="24"/>
      <w:szCs w:val="24"/>
      <w:vertAlign w:val="superscript"/>
    </w:rPr>
  </w:style>
  <w:style w:type="paragraph" w:styleId="FootnoteText">
    <w:name w:val="footnote text"/>
    <w:basedOn w:val="Normal"/>
    <w:link w:val="FootnoteTextChar"/>
    <w:uiPriority w:val="99"/>
    <w:qFormat/>
    <w:rPr>
      <w:rFonts w:eastAsia="MS Mincho"/>
      <w:sz w:val="20"/>
      <w:szCs w:val="20"/>
      <w:lang w:val="zh-CN" w:eastAsia="zh-CN"/>
    </w:r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unhideWhenUsed/>
    <w:qFormat/>
    <w:rPr>
      <w:color w:val="0000FF"/>
      <w:u w:val="single"/>
    </w:rPr>
  </w:style>
  <w:style w:type="paragraph" w:styleId="NormalWeb">
    <w:name w:val="Normal (Web)"/>
    <w:aliases w:val="Char Char,Normal (Web) Char1,Char8 Char,Char8,webb, Char Char, Char8 Char, Char8,Обычный (веб)1,Обычный (веб) Знак,Обычный (веб) Знак1,Обычный (веб) Знак Знак,Geneva 9,표준 (웹),Char Char5,Normal (Web) Char Char Char Char Char,Char Char Cha"/>
    <w:basedOn w:val="Normal"/>
    <w:link w:val="NormalWebChar"/>
    <w:uiPriority w:val="99"/>
    <w:qFormat/>
    <w:pPr>
      <w:spacing w:before="100" w:beforeAutospacing="1" w:after="100" w:afterAutospacing="1"/>
    </w:pPr>
    <w:rPr>
      <w:sz w:val="24"/>
      <w:szCs w:val="24"/>
    </w:rPr>
  </w:style>
  <w:style w:type="character" w:styleId="Strong">
    <w:name w:val="Strong"/>
    <w:qFormat/>
    <w:rPr>
      <w:b/>
      <w:bC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rPr>
      <w:rFonts w:eastAsiaTheme="majorEastAsia" w:cstheme="majorBidi"/>
      <w:color w:val="262626" w:themeColor="text1" w:themeTint="D9"/>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1"/>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FootnoteTextChar">
    <w:name w:val="Footnote Text Char"/>
    <w:basedOn w:val="DefaultParagraphFont"/>
    <w:link w:val="FootnoteText"/>
    <w:uiPriority w:val="99"/>
    <w:qFormat/>
    <w:rPr>
      <w:rFonts w:ascii="Times New Roman" w:eastAsia="MS Mincho" w:hAnsi="Times New Roman" w:cs="Times New Roman"/>
      <w:kern w:val="0"/>
      <w:sz w:val="20"/>
      <w:szCs w:val="20"/>
      <w:lang w:val="zh-CN" w:eastAsia="zh-CN"/>
    </w:rPr>
  </w:style>
  <w:style w:type="character" w:customStyle="1" w:styleId="NormalWebChar">
    <w:name w:val="Normal (Web) Char"/>
    <w:aliases w:val="Char Char Char,Normal (Web) Char1 Char,Char8 Char Char,Char8 Char1,webb Char, Char Char Char, Char8 Char Char, Char8 Char1,Обычный (веб)1 Char,Обычный (веб) Знак Char,Обычный (веб) Знак1 Char,Обычный (веб) Знак Знак Char,Geneva 9 Char"/>
    <w:link w:val="NormalWeb"/>
    <w:uiPriority w:val="99"/>
    <w:qFormat/>
    <w:locked/>
    <w:rPr>
      <w:rFonts w:ascii="Times New Roman" w:eastAsia="Times New Roman" w:hAnsi="Times New Roman" w:cs="Times New Roman"/>
      <w:kern w:val="0"/>
    </w:rPr>
  </w:style>
  <w:style w:type="character" w:customStyle="1" w:styleId="HeaderChar">
    <w:name w:val="Header Char"/>
    <w:basedOn w:val="DefaultParagraphFont"/>
    <w:link w:val="Header"/>
    <w:uiPriority w:val="99"/>
    <w:rPr>
      <w:rFonts w:ascii="Times New Roman" w:eastAsia="Times New Roman" w:hAnsi="Times New Roman" w:cs="Times New Roman"/>
      <w:kern w:val="0"/>
      <w:sz w:val="28"/>
      <w:szCs w:val="28"/>
    </w:rPr>
  </w:style>
  <w:style w:type="character" w:customStyle="1" w:styleId="FooterChar">
    <w:name w:val="Footer Char"/>
    <w:basedOn w:val="DefaultParagraphFont"/>
    <w:link w:val="Footer"/>
    <w:uiPriority w:val="99"/>
    <w:rPr>
      <w:rFonts w:ascii="Times New Roman" w:eastAsia="Times New Roman" w:hAnsi="Times New Roman" w:cs="Times New Roman"/>
      <w:kern w:val="0"/>
      <w:sz w:val="28"/>
      <w:szCs w:val="28"/>
    </w:rPr>
  </w:style>
  <w:style w:type="character" w:customStyle="1" w:styleId="CommentTextChar">
    <w:name w:val="Comment Text Char"/>
    <w:basedOn w:val="DefaultParagraphFont"/>
    <w:link w:val="CommentText"/>
    <w:uiPriority w:val="99"/>
    <w:rPr>
      <w:rFonts w:ascii="Courier New" w:eastAsia="Courier New" w:hAnsi="Courier New" w:cs="Courier New"/>
      <w:color w:val="000000"/>
      <w:kern w:val="0"/>
      <w:sz w:val="20"/>
      <w:szCs w:val="20"/>
      <w:lang w:val="vi-VN" w:eastAsia="vi-VN"/>
    </w:rPr>
  </w:style>
  <w:style w:type="character" w:customStyle="1" w:styleId="BalloonTextChar">
    <w:name w:val="Balloon Text Char"/>
    <w:basedOn w:val="DefaultParagraphFont"/>
    <w:link w:val="BalloonText"/>
    <w:uiPriority w:val="99"/>
    <w:semiHidden/>
    <w:rPr>
      <w:rFonts w:ascii="Tahoma" w:eastAsia="Times New Roman" w:hAnsi="Tahoma" w:cs="Tahoma"/>
      <w:kern w:val="0"/>
      <w:sz w:val="16"/>
      <w:szCs w:val="16"/>
    </w:rPr>
  </w:style>
  <w:style w:type="character" w:customStyle="1" w:styleId="NIDUNGChar">
    <w:name w:val="NỘI DUNG Char"/>
    <w:link w:val="NIDUNG"/>
    <w:qFormat/>
    <w:locked/>
    <w:rPr>
      <w:rFonts w:cs="Times New Roman"/>
      <w:color w:val="000000" w:themeColor="text1"/>
      <w:szCs w:val="28"/>
      <w:lang w:val="vi-VN" w:eastAsia="zh-CN"/>
    </w:rPr>
  </w:style>
  <w:style w:type="paragraph" w:customStyle="1" w:styleId="NIDUNG">
    <w:name w:val="NỘI DUNG"/>
    <w:basedOn w:val="Normal"/>
    <w:link w:val="NIDUNGChar"/>
    <w:autoRedefine/>
    <w:qFormat/>
    <w:pPr>
      <w:widowControl w:val="0"/>
      <w:spacing w:before="240"/>
      <w:ind w:firstLine="567"/>
      <w:jc w:val="both"/>
    </w:pPr>
    <w:rPr>
      <w:rFonts w:asciiTheme="minorHAnsi" w:eastAsiaTheme="minorHAnsi" w:hAnsiTheme="minorHAnsi"/>
      <w:color w:val="000000" w:themeColor="text1"/>
      <w:kern w:val="2"/>
      <w:sz w:val="24"/>
      <w:lang w:val="vi-VN" w:eastAsia="zh-CN"/>
    </w:rPr>
  </w:style>
  <w:style w:type="character" w:customStyle="1" w:styleId="BodyTextIndentChar">
    <w:name w:val="Body Text Indent Char"/>
    <w:basedOn w:val="DefaultParagraphFont"/>
    <w:link w:val="BodyTextIndent"/>
    <w:rPr>
      <w:rFonts w:ascii="Times New Roman" w:eastAsia="Times New Roman" w:hAnsi="Times New Roman" w:cs="Times New Roman"/>
      <w:kern w:val="0"/>
      <w:sz w:val="28"/>
      <w:szCs w:val="28"/>
    </w:rPr>
  </w:style>
  <w:style w:type="paragraph" w:customStyle="1" w:styleId="sodam">
    <w:name w:val="so dam"/>
    <w:basedOn w:val="Normal"/>
    <w:pPr>
      <w:spacing w:before="120" w:after="80" w:line="252" w:lineRule="auto"/>
      <w:ind w:firstLine="567"/>
      <w:jc w:val="both"/>
    </w:pPr>
    <w:rPr>
      <w:b/>
      <w:bCs/>
      <w:sz w:val="26"/>
      <w:szCs w:val="24"/>
    </w:rPr>
  </w:style>
  <w:style w:type="paragraph" w:styleId="Subtitle">
    <w:name w:val="Subtitle"/>
    <w:basedOn w:val="Normal"/>
    <w:next w:val="Normal"/>
    <w:link w:val="SubtitleChar"/>
    <w:uiPriority w:val="11"/>
    <w:qFormat/>
    <w:rPr>
      <w:color w:val="595959"/>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r2irGjLoiQOBrkv5mFq033rSUA==">CgMxLjAyDmguMW16YXMzamNhbGM0Mg5oLjd2YmhrY2ZiZDNrdzIOaC53dXk0bnE0OGZmd2QyDmgucGw5bWNlaWpldXkyOAByITFLUThqdWQ3aDRfdV9yWFcyMzg1SzBieXVhblc0dWhHaQ==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16</Pages>
  <Words>3050</Words>
  <Characters>17391</Characters>
  <Application>Microsoft Office Word</Application>
  <DocSecurity>0</DocSecurity>
  <Lines>144</Lines>
  <Paragraphs>40</Paragraphs>
  <ScaleCrop>false</ScaleCrop>
  <Company/>
  <LinksUpToDate>false</LinksUpToDate>
  <CharactersWithSpaces>20401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thinnt</dc:creator>
  <cp:lastModifiedBy>Thai Thi Hai Yen</cp:lastModifiedBy>
  <cp:revision>4</cp:revision>
  <dcterms:created xsi:type="dcterms:W3CDTF">2025-11-08T04:56:00Z</dcterms:created>
  <dcterms:modified xsi:type="dcterms:W3CDTF">2025-11-08T08:49:00Z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1033-12.2.0.21179</vt:lpwstr>
  </property>
  <property fmtid="{D5CDD505-2E9C-101B-9397-08002B2CF9AE}" pid="3" name="ICV">
    <vt:lpwstr>98FC9AB33FB547A89DA5A918C3B0E12A_13</vt:lpwstr>
  </property>
</Properties>
</file>